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color w:val="4472C4" w:themeColor="accent1"/>
          <w:sz w:val="20"/>
          <w:lang w:val="en-GB"/>
        </w:rPr>
        <w:id w:val="-1685117872"/>
        <w:docPartObj>
          <w:docPartGallery w:val="Cover Pages"/>
          <w:docPartUnique/>
        </w:docPartObj>
      </w:sdtPr>
      <w:sdtEndPr>
        <w:rPr>
          <w:b/>
          <w:color w:val="auto"/>
        </w:rPr>
      </w:sdtEndPr>
      <w:sdtContent>
        <w:p w:rsidR="003C28D9" w:rsidRPr="00403677" w:rsidRDefault="003C28D9" w:rsidP="003C28D9">
          <w:pPr>
            <w:pStyle w:val="NoSpacing"/>
            <w:jc w:val="center"/>
            <w:rPr>
              <w:color w:val="4472C4" w:themeColor="accent1"/>
              <w:sz w:val="20"/>
            </w:rPr>
          </w:pPr>
        </w:p>
        <w:p w:rsidR="003C28D9" w:rsidRPr="00403677" w:rsidRDefault="003C28D9" w:rsidP="003C28D9">
          <w:pPr>
            <w:pStyle w:val="NoSpacing"/>
            <w:jc w:val="center"/>
            <w:rPr>
              <w:color w:val="4472C4" w:themeColor="accent1"/>
              <w:sz w:val="20"/>
            </w:rPr>
          </w:pPr>
          <w:r w:rsidRPr="00403677">
            <w:rPr>
              <w:noProof/>
              <w:sz w:val="20"/>
              <w:lang w:val="en-GB" w:eastAsia="en-GB"/>
            </w:rPr>
            <w:drawing>
              <wp:inline distT="0" distB="0" distL="0" distR="0" wp14:anchorId="7284E2FF" wp14:editId="73AB9E00">
                <wp:extent cx="4084758" cy="1594002"/>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185827" cy="1633442"/>
                        </a:xfrm>
                        <a:prstGeom prst="rect">
                          <a:avLst/>
                        </a:prstGeom>
                        <a:ln>
                          <a:noFill/>
                        </a:ln>
                        <a:extLst>
                          <a:ext uri="{53640926-AAD7-44D8-BBD7-CCE9431645EC}">
                            <a14:shadowObscured xmlns:a14="http://schemas.microsoft.com/office/drawing/2010/main"/>
                          </a:ext>
                        </a:extLst>
                      </pic:spPr>
                    </pic:pic>
                  </a:graphicData>
                </a:graphic>
              </wp:inline>
            </w:drawing>
          </w:r>
        </w:p>
        <w:p w:rsidR="003C28D9" w:rsidRPr="00403677" w:rsidRDefault="003C28D9" w:rsidP="003C28D9">
          <w:pPr>
            <w:pStyle w:val="NoSpacing"/>
            <w:jc w:val="center"/>
            <w:rPr>
              <w:color w:val="4472C4" w:themeColor="accent1"/>
              <w:sz w:val="20"/>
            </w:rPr>
          </w:pPr>
        </w:p>
        <w:p w:rsidR="003C28D9" w:rsidRPr="00403677" w:rsidRDefault="003C28D9" w:rsidP="003C28D9">
          <w:pPr>
            <w:pStyle w:val="NoSpacing"/>
            <w:jc w:val="center"/>
            <w:rPr>
              <w:sz w:val="20"/>
            </w:rPr>
          </w:pPr>
        </w:p>
        <w:p w:rsidR="003C28D9" w:rsidRPr="00403677" w:rsidRDefault="003C28D9" w:rsidP="009E5C72">
          <w:pPr>
            <w:pStyle w:val="NoSpacing"/>
            <w:pBdr>
              <w:bottom w:val="single" w:sz="4" w:space="1" w:color="auto"/>
            </w:pBdr>
            <w:jc w:val="center"/>
            <w:rPr>
              <w:sz w:val="20"/>
            </w:rPr>
          </w:pPr>
        </w:p>
        <w:p w:rsidR="003C28D9" w:rsidRPr="00403677" w:rsidRDefault="003C28D9" w:rsidP="003C28D9">
          <w:pPr>
            <w:pStyle w:val="NoSpacing"/>
            <w:jc w:val="center"/>
            <w:rPr>
              <w:sz w:val="20"/>
            </w:rPr>
          </w:pPr>
        </w:p>
        <w:sdt>
          <w:sdtPr>
            <w:rPr>
              <w:rFonts w:ascii="Arial" w:hAnsi="Arial" w:cs="Arial"/>
              <w:sz w:val="62"/>
              <w:szCs w:val="24"/>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3C28D9" w:rsidRPr="00403677" w:rsidRDefault="009236E4" w:rsidP="009E5C72">
              <w:pPr>
                <w:pStyle w:val="NoSpacing"/>
                <w:jc w:val="center"/>
                <w:rPr>
                  <w:rFonts w:ascii="Arial" w:hAnsi="Arial" w:cs="Arial"/>
                  <w:sz w:val="62"/>
                  <w:szCs w:val="24"/>
                </w:rPr>
              </w:pPr>
              <w:r w:rsidRPr="00403677">
                <w:rPr>
                  <w:rFonts w:ascii="Arial" w:hAnsi="Arial" w:cs="Arial"/>
                  <w:sz w:val="62"/>
                  <w:szCs w:val="24"/>
                  <w:lang w:val="en-GB"/>
                </w:rPr>
                <w:t>Data Sharing Agreement (DSA)</w:t>
              </w:r>
            </w:p>
          </w:sdtContent>
        </w:sdt>
        <w:p w:rsidR="009E5C72" w:rsidRPr="00403677" w:rsidRDefault="009E5C72" w:rsidP="009E5C72">
          <w:pPr>
            <w:pStyle w:val="NoSpacing"/>
            <w:jc w:val="center"/>
            <w:rPr>
              <w:rFonts w:ascii="Arial" w:hAnsi="Arial" w:cs="Arial"/>
              <w:sz w:val="30"/>
              <w:szCs w:val="32"/>
            </w:rPr>
          </w:pPr>
        </w:p>
        <w:p w:rsidR="00720865" w:rsidRPr="00A4267A" w:rsidRDefault="00720865" w:rsidP="00720865">
          <w:pPr>
            <w:pStyle w:val="NoSpacing"/>
            <w:jc w:val="center"/>
            <w:rPr>
              <w:rFonts w:asciiTheme="majorHAnsi" w:eastAsiaTheme="majorEastAsia" w:hAnsiTheme="majorHAnsi" w:cstheme="majorBidi"/>
              <w:caps/>
              <w:sz w:val="88"/>
              <w:szCs w:val="80"/>
            </w:rPr>
          </w:pPr>
          <w:r w:rsidRPr="00A4267A">
            <w:rPr>
              <w:rFonts w:ascii="Arial" w:hAnsi="Arial" w:cs="Arial"/>
              <w:sz w:val="64"/>
              <w:szCs w:val="24"/>
            </w:rPr>
            <w:t xml:space="preserve">GDPR </w:t>
          </w:r>
          <w:r>
            <w:rPr>
              <w:rFonts w:ascii="Arial" w:hAnsi="Arial" w:cs="Arial"/>
              <w:sz w:val="64"/>
              <w:szCs w:val="24"/>
            </w:rPr>
            <w:t>Addendum</w:t>
          </w:r>
        </w:p>
        <w:p w:rsidR="003C28D9" w:rsidRPr="00403677" w:rsidRDefault="003C28D9" w:rsidP="009E5C72">
          <w:pPr>
            <w:pStyle w:val="NoSpacing"/>
            <w:pBdr>
              <w:bottom w:val="single" w:sz="4" w:space="1" w:color="auto"/>
            </w:pBdr>
            <w:jc w:val="center"/>
            <w:rPr>
              <w:sz w:val="26"/>
              <w:szCs w:val="28"/>
            </w:rPr>
          </w:pPr>
        </w:p>
        <w:p w:rsidR="003C28D9" w:rsidRPr="00403677" w:rsidRDefault="003C28D9" w:rsidP="003C28D9">
          <w:pPr>
            <w:pStyle w:val="Default"/>
            <w:rPr>
              <w:color w:val="auto"/>
              <w:sz w:val="22"/>
            </w:rPr>
          </w:pPr>
        </w:p>
        <w:p w:rsidR="003C28D9" w:rsidRPr="00403677" w:rsidRDefault="003C28D9" w:rsidP="003C28D9">
          <w:pPr>
            <w:pStyle w:val="NoSpacing"/>
            <w:jc w:val="center"/>
            <w:rPr>
              <w:sz w:val="50"/>
              <w:szCs w:val="40"/>
            </w:rPr>
          </w:pPr>
          <w:r w:rsidRPr="00403677">
            <w:rPr>
              <w:sz w:val="50"/>
              <w:szCs w:val="40"/>
            </w:rPr>
            <w:t>Between</w:t>
          </w:r>
        </w:p>
        <w:p w:rsidR="003C28D9" w:rsidRPr="00403677" w:rsidRDefault="003C28D9" w:rsidP="003C28D9">
          <w:pPr>
            <w:pStyle w:val="NoSpacing"/>
            <w:jc w:val="center"/>
            <w:rPr>
              <w:sz w:val="50"/>
              <w:szCs w:val="40"/>
            </w:rPr>
          </w:pPr>
        </w:p>
        <w:p w:rsidR="003C28D9" w:rsidRPr="00403677" w:rsidRDefault="003C28D9" w:rsidP="003C28D9">
          <w:pPr>
            <w:pStyle w:val="NoSpacing"/>
            <w:jc w:val="center"/>
            <w:rPr>
              <w:sz w:val="50"/>
              <w:szCs w:val="40"/>
            </w:rPr>
          </w:pPr>
          <w:r w:rsidRPr="00403677">
            <w:rPr>
              <w:sz w:val="50"/>
              <w:szCs w:val="40"/>
            </w:rPr>
            <w:t>GP Practices</w:t>
          </w:r>
        </w:p>
        <w:p w:rsidR="003C28D9" w:rsidRPr="00403677" w:rsidRDefault="003C28D9" w:rsidP="003C28D9">
          <w:pPr>
            <w:pStyle w:val="NoSpacing"/>
            <w:jc w:val="center"/>
            <w:rPr>
              <w:sz w:val="50"/>
              <w:szCs w:val="40"/>
            </w:rPr>
          </w:pPr>
          <w:r w:rsidRPr="00403677">
            <w:rPr>
              <w:sz w:val="50"/>
              <w:szCs w:val="40"/>
            </w:rPr>
            <w:t>and</w:t>
          </w:r>
        </w:p>
        <w:p w:rsidR="003C28D9" w:rsidRPr="00403677" w:rsidRDefault="003C28D9" w:rsidP="003C28D9">
          <w:pPr>
            <w:pStyle w:val="NoSpacing"/>
            <w:jc w:val="center"/>
            <w:rPr>
              <w:sz w:val="50"/>
              <w:szCs w:val="40"/>
            </w:rPr>
          </w:pPr>
          <w:r w:rsidRPr="00403677">
            <w:rPr>
              <w:sz w:val="50"/>
              <w:szCs w:val="40"/>
            </w:rPr>
            <w:t>Providers of NHS Funded Care</w:t>
          </w:r>
        </w:p>
        <w:p w:rsidR="003C28D9" w:rsidRPr="00403677" w:rsidRDefault="003C28D9" w:rsidP="003C28D9">
          <w:pPr>
            <w:pStyle w:val="NoSpacing"/>
            <w:jc w:val="center"/>
            <w:rPr>
              <w:sz w:val="20"/>
            </w:rPr>
          </w:pPr>
        </w:p>
        <w:p w:rsidR="003C28D9" w:rsidRPr="00403677" w:rsidRDefault="003C28D9" w:rsidP="003C28D9">
          <w:pPr>
            <w:pStyle w:val="NoSpacing"/>
            <w:jc w:val="center"/>
            <w:rPr>
              <w:sz w:val="20"/>
            </w:rPr>
          </w:pPr>
        </w:p>
        <w:p w:rsidR="003C28D9" w:rsidRPr="00403677" w:rsidRDefault="003C28D9" w:rsidP="003C28D9">
          <w:pPr>
            <w:pStyle w:val="NoSpacing"/>
            <w:jc w:val="center"/>
            <w:rPr>
              <w:sz w:val="20"/>
            </w:rPr>
          </w:pPr>
        </w:p>
        <w:p w:rsidR="003C28D9" w:rsidRPr="00403677" w:rsidRDefault="003C28D9" w:rsidP="003C28D9">
          <w:pPr>
            <w:pStyle w:val="NoSpacing"/>
            <w:jc w:val="center"/>
            <w:rPr>
              <w:sz w:val="20"/>
            </w:rPr>
          </w:pPr>
        </w:p>
        <w:p w:rsidR="003C28D9" w:rsidRPr="00403677" w:rsidRDefault="003C28D9" w:rsidP="003C28D9">
          <w:pPr>
            <w:pStyle w:val="NoSpacing"/>
            <w:jc w:val="center"/>
            <w:rPr>
              <w:sz w:val="20"/>
            </w:rPr>
          </w:pPr>
        </w:p>
        <w:p w:rsidR="003C28D9" w:rsidRPr="00403677" w:rsidRDefault="003C28D9" w:rsidP="003C28D9">
          <w:pPr>
            <w:pStyle w:val="NoSpacing"/>
            <w:jc w:val="center"/>
            <w:rPr>
              <w:sz w:val="20"/>
            </w:rPr>
          </w:pPr>
        </w:p>
        <w:p w:rsidR="003C28D9" w:rsidRPr="00403677" w:rsidRDefault="003C28D9" w:rsidP="003C28D9">
          <w:pPr>
            <w:pStyle w:val="NoSpacing"/>
            <w:jc w:val="center"/>
            <w:rPr>
              <w:sz w:val="20"/>
            </w:rPr>
          </w:pPr>
        </w:p>
        <w:p w:rsidR="003C28D9" w:rsidRPr="00403677" w:rsidRDefault="003C28D9" w:rsidP="003C28D9">
          <w:pPr>
            <w:pStyle w:val="NoSpacing"/>
            <w:jc w:val="center"/>
            <w:rPr>
              <w:sz w:val="20"/>
            </w:rPr>
          </w:pPr>
        </w:p>
        <w:p w:rsidR="003C28D9" w:rsidRPr="00403677" w:rsidRDefault="003C28D9" w:rsidP="003C28D9">
          <w:pPr>
            <w:pStyle w:val="NoSpacing"/>
            <w:jc w:val="center"/>
            <w:rPr>
              <w:sz w:val="20"/>
            </w:rPr>
          </w:pPr>
        </w:p>
        <w:p w:rsidR="003C28D9" w:rsidRPr="00403677" w:rsidRDefault="003C28D9" w:rsidP="003C28D9">
          <w:pPr>
            <w:pStyle w:val="NoSpacing"/>
            <w:jc w:val="center"/>
            <w:rPr>
              <w:sz w:val="20"/>
            </w:rPr>
          </w:pPr>
        </w:p>
        <w:p w:rsidR="003C28D9" w:rsidRPr="00403677" w:rsidRDefault="003C28D9" w:rsidP="003C28D9">
          <w:pPr>
            <w:pStyle w:val="NoSpacing"/>
            <w:jc w:val="center"/>
            <w:rPr>
              <w:sz w:val="20"/>
            </w:rPr>
          </w:pPr>
        </w:p>
        <w:p w:rsidR="003C28D9" w:rsidRPr="00403677" w:rsidRDefault="003C28D9" w:rsidP="003C28D9">
          <w:pPr>
            <w:pStyle w:val="NoSpacing"/>
            <w:jc w:val="center"/>
            <w:rPr>
              <w:sz w:val="20"/>
            </w:rPr>
          </w:pPr>
        </w:p>
        <w:p w:rsidR="003C28D9" w:rsidRPr="00403677" w:rsidRDefault="003C28D9" w:rsidP="003C28D9">
          <w:pPr>
            <w:pStyle w:val="NoSpacing"/>
            <w:jc w:val="center"/>
            <w:rPr>
              <w:sz w:val="20"/>
            </w:rPr>
          </w:pPr>
        </w:p>
        <w:p w:rsidR="003C28D9" w:rsidRPr="00403677" w:rsidRDefault="003C28D9" w:rsidP="003C28D9">
          <w:pPr>
            <w:pStyle w:val="NoSpacing"/>
            <w:jc w:val="center"/>
            <w:rPr>
              <w:sz w:val="38"/>
            </w:rPr>
          </w:pPr>
          <w:r w:rsidRPr="00403677">
            <w:rPr>
              <w:sz w:val="38"/>
            </w:rPr>
            <w:t>December 2018</w:t>
          </w:r>
        </w:p>
        <w:p w:rsidR="003C28D9" w:rsidRPr="00403677" w:rsidRDefault="003C28D9">
          <w:pPr>
            <w:spacing w:before="0" w:after="160" w:line="259" w:lineRule="auto"/>
            <w:rPr>
              <w:sz w:val="20"/>
            </w:rPr>
          </w:pPr>
          <w:r w:rsidRPr="00403677">
            <w:rPr>
              <w:b/>
              <w:sz w:val="20"/>
            </w:rPr>
            <w:br w:type="page"/>
          </w:r>
        </w:p>
      </w:sdtContent>
    </w:sdt>
    <w:p w:rsidR="00001527" w:rsidRPr="00403677" w:rsidRDefault="00720865" w:rsidP="008B26E3">
      <w:pPr>
        <w:pStyle w:val="Heading1"/>
        <w:rPr>
          <w:sz w:val="30"/>
        </w:rPr>
      </w:pPr>
      <w:r w:rsidRPr="00163B99">
        <w:rPr>
          <w:rFonts w:ascii="Calibri Light" w:eastAsia="Times New Roman" w:hAnsi="Calibri Light" w:cs="Times New Roman"/>
        </w:rPr>
        <w:lastRenderedPageBreak/>
        <w:t>Your Care Connected</w:t>
      </w:r>
      <w:r>
        <w:rPr>
          <w:rFonts w:ascii="Calibri Light" w:eastAsia="Times New Roman" w:hAnsi="Calibri Light" w:cs="Times New Roman"/>
        </w:rPr>
        <w:t xml:space="preserve"> (YCC) Data Sharing Agreement: </w:t>
      </w:r>
      <w:r w:rsidRPr="00163B99">
        <w:rPr>
          <w:rFonts w:ascii="Calibri Light" w:eastAsia="Times New Roman" w:hAnsi="Calibri Light" w:cs="Times New Roman"/>
        </w:rPr>
        <w:t xml:space="preserve">GDPR </w:t>
      </w:r>
      <w:r>
        <w:rPr>
          <w:rFonts w:ascii="Calibri Light" w:eastAsia="Times New Roman" w:hAnsi="Calibri Light" w:cs="Times New Roman"/>
        </w:rPr>
        <w:t>Addendum</w:t>
      </w:r>
    </w:p>
    <w:p w:rsidR="00001527" w:rsidRPr="00403677" w:rsidRDefault="00001527" w:rsidP="00A4267A">
      <w:pPr>
        <w:pStyle w:val="Heading2"/>
        <w:rPr>
          <w:sz w:val="24"/>
        </w:rPr>
      </w:pPr>
      <w:r w:rsidRPr="00403677">
        <w:rPr>
          <w:sz w:val="24"/>
        </w:rPr>
        <w:t>Introduction</w:t>
      </w:r>
    </w:p>
    <w:p w:rsidR="00ED2768" w:rsidRPr="00403677" w:rsidRDefault="00001527" w:rsidP="00001527">
      <w:pPr>
        <w:rPr>
          <w:sz w:val="20"/>
        </w:rPr>
      </w:pPr>
      <w:r w:rsidRPr="00403677">
        <w:rPr>
          <w:sz w:val="20"/>
        </w:rPr>
        <w:t xml:space="preserve">The Your Care Connected (YCC) </w:t>
      </w:r>
      <w:r w:rsidR="004D29B3" w:rsidRPr="00403677">
        <w:rPr>
          <w:sz w:val="20"/>
        </w:rPr>
        <w:t>Data Sharing Agreement</w:t>
      </w:r>
      <w:r w:rsidRPr="00403677">
        <w:rPr>
          <w:sz w:val="20"/>
        </w:rPr>
        <w:t xml:space="preserve"> </w:t>
      </w:r>
      <w:r w:rsidR="00ED2768" w:rsidRPr="00403677">
        <w:rPr>
          <w:sz w:val="20"/>
        </w:rPr>
        <w:t xml:space="preserve">(DSA) </w:t>
      </w:r>
      <w:r w:rsidR="003C28D9" w:rsidRPr="00403677">
        <w:rPr>
          <w:sz w:val="20"/>
        </w:rPr>
        <w:t xml:space="preserve">is dated September 2016 </w:t>
      </w:r>
      <w:r w:rsidR="008B26E3" w:rsidRPr="00403677">
        <w:rPr>
          <w:sz w:val="20"/>
        </w:rPr>
        <w:t>when the 1998 Data Protection Act (DPA98)</w:t>
      </w:r>
      <w:r w:rsidRPr="00403677">
        <w:rPr>
          <w:sz w:val="20"/>
        </w:rPr>
        <w:t xml:space="preserve"> </w:t>
      </w:r>
      <w:r w:rsidR="008B26E3" w:rsidRPr="00403677">
        <w:rPr>
          <w:sz w:val="20"/>
        </w:rPr>
        <w:t>was in force.</w:t>
      </w:r>
      <w:r w:rsidR="007102FF" w:rsidRPr="00403677">
        <w:rPr>
          <w:sz w:val="20"/>
        </w:rPr>
        <w:t xml:space="preserve"> </w:t>
      </w:r>
      <w:r w:rsidR="008B26E3" w:rsidRPr="00403677">
        <w:rPr>
          <w:sz w:val="20"/>
        </w:rPr>
        <w:t>On May 25th 2018 the General Data Protection Regulation (GDPR) came into force across the European Union and was enacted in the UK as the Data Protection Act 2018 (DPA18).</w:t>
      </w:r>
      <w:r w:rsidR="00A4267A" w:rsidRPr="00403677">
        <w:rPr>
          <w:sz w:val="20"/>
        </w:rPr>
        <w:t xml:space="preserve"> </w:t>
      </w:r>
      <w:r w:rsidR="004D29B3" w:rsidRPr="00403677">
        <w:rPr>
          <w:sz w:val="20"/>
        </w:rPr>
        <w:t>Having received</w:t>
      </w:r>
      <w:r w:rsidR="00ED2768" w:rsidRPr="00403677">
        <w:rPr>
          <w:sz w:val="20"/>
        </w:rPr>
        <w:t xml:space="preserve"> advice from internal IG and legal teams as well as from NHS England</w:t>
      </w:r>
      <w:r w:rsidR="00872A69" w:rsidRPr="00403677">
        <w:rPr>
          <w:sz w:val="20"/>
        </w:rPr>
        <w:t>,</w:t>
      </w:r>
      <w:r w:rsidR="00ED2768" w:rsidRPr="00403677">
        <w:rPr>
          <w:sz w:val="20"/>
        </w:rPr>
        <w:t xml:space="preserve"> YCC believes that the cur</w:t>
      </w:r>
      <w:r w:rsidR="00487A6C" w:rsidRPr="00403677">
        <w:rPr>
          <w:sz w:val="20"/>
        </w:rPr>
        <w:t xml:space="preserve">rent DSA is compliant with GDPR, </w:t>
      </w:r>
      <w:r w:rsidR="00872A69" w:rsidRPr="00403677">
        <w:rPr>
          <w:sz w:val="20"/>
        </w:rPr>
        <w:t xml:space="preserve">but </w:t>
      </w:r>
      <w:r w:rsidR="004D29B3" w:rsidRPr="00403677">
        <w:rPr>
          <w:sz w:val="20"/>
        </w:rPr>
        <w:t>there is an opportunity to take advantage of the new provisions enabled by the GDPR regulations.</w:t>
      </w:r>
      <w:r w:rsidR="007102FF" w:rsidRPr="00403677">
        <w:rPr>
          <w:sz w:val="20"/>
        </w:rPr>
        <w:t xml:space="preserve"> </w:t>
      </w:r>
      <w:r w:rsidR="00872A69" w:rsidRPr="00403677">
        <w:rPr>
          <w:sz w:val="20"/>
        </w:rPr>
        <w:t>O</w:t>
      </w:r>
      <w:r w:rsidR="003C28D9" w:rsidRPr="00403677">
        <w:rPr>
          <w:sz w:val="20"/>
        </w:rPr>
        <w:t xml:space="preserve">ur DSA </w:t>
      </w:r>
      <w:r w:rsidR="00872A69" w:rsidRPr="00403677">
        <w:rPr>
          <w:sz w:val="20"/>
        </w:rPr>
        <w:t xml:space="preserve">also </w:t>
      </w:r>
      <w:r w:rsidR="003C28D9" w:rsidRPr="00403677">
        <w:rPr>
          <w:sz w:val="20"/>
        </w:rPr>
        <w:t xml:space="preserve">stipulates </w:t>
      </w:r>
      <w:r w:rsidR="00247594" w:rsidRPr="00403677">
        <w:rPr>
          <w:sz w:val="20"/>
        </w:rPr>
        <w:t xml:space="preserve">an </w:t>
      </w:r>
      <w:r w:rsidR="003C28D9" w:rsidRPr="00403677">
        <w:rPr>
          <w:sz w:val="20"/>
        </w:rPr>
        <w:t xml:space="preserve">expectation to review the DSA regularly in light of any new national guidance. This </w:t>
      </w:r>
      <w:r w:rsidR="00ED2768" w:rsidRPr="00403677">
        <w:rPr>
          <w:sz w:val="20"/>
        </w:rPr>
        <w:t xml:space="preserve">document </w:t>
      </w:r>
      <w:r w:rsidR="00114C48" w:rsidRPr="00403677">
        <w:rPr>
          <w:sz w:val="20"/>
        </w:rPr>
        <w:t xml:space="preserve">should be read alongside the existing DSA and also provides </w:t>
      </w:r>
      <w:r w:rsidR="003C28D9" w:rsidRPr="00403677">
        <w:rPr>
          <w:sz w:val="20"/>
        </w:rPr>
        <w:t>the basis for updating</w:t>
      </w:r>
      <w:r w:rsidR="00ED2768" w:rsidRPr="00403677">
        <w:rPr>
          <w:sz w:val="20"/>
        </w:rPr>
        <w:t xml:space="preserve"> public facing information to reflect the changes under GDPR</w:t>
      </w:r>
      <w:r w:rsidR="004D29B3" w:rsidRPr="00403677">
        <w:rPr>
          <w:sz w:val="20"/>
        </w:rPr>
        <w:t xml:space="preserve"> </w:t>
      </w:r>
      <w:r w:rsidR="00A4267A" w:rsidRPr="00403677">
        <w:rPr>
          <w:sz w:val="20"/>
        </w:rPr>
        <w:t>(see appendix 1)</w:t>
      </w:r>
      <w:r w:rsidR="004D29B3" w:rsidRPr="00403677">
        <w:rPr>
          <w:sz w:val="20"/>
        </w:rPr>
        <w:t>.</w:t>
      </w:r>
    </w:p>
    <w:p w:rsidR="00ED2768" w:rsidRPr="00403677" w:rsidRDefault="00ED2768" w:rsidP="00A4267A">
      <w:pPr>
        <w:pStyle w:val="Heading2"/>
        <w:rPr>
          <w:sz w:val="24"/>
        </w:rPr>
      </w:pPr>
      <w:r w:rsidRPr="00403677">
        <w:rPr>
          <w:sz w:val="24"/>
        </w:rPr>
        <w:t>Current DSA under GDPR</w:t>
      </w:r>
    </w:p>
    <w:p w:rsidR="0040675E" w:rsidRPr="00403677" w:rsidRDefault="00ED2768" w:rsidP="00001527">
      <w:pPr>
        <w:rPr>
          <w:sz w:val="20"/>
        </w:rPr>
      </w:pPr>
      <w:r w:rsidRPr="00403677">
        <w:rPr>
          <w:sz w:val="20"/>
        </w:rPr>
        <w:t xml:space="preserve">Much of the content of </w:t>
      </w:r>
      <w:r w:rsidR="004D29B3" w:rsidRPr="00403677">
        <w:rPr>
          <w:sz w:val="20"/>
        </w:rPr>
        <w:t xml:space="preserve">the </w:t>
      </w:r>
      <w:r w:rsidRPr="00403677">
        <w:rPr>
          <w:sz w:val="20"/>
        </w:rPr>
        <w:t xml:space="preserve">current DSA still directly applies </w:t>
      </w:r>
      <w:r w:rsidR="005A5B1B" w:rsidRPr="00403677">
        <w:rPr>
          <w:sz w:val="20"/>
        </w:rPr>
        <w:t>under GDPR. Most importantly the purpose for data sharing has not changed a</w:t>
      </w:r>
      <w:r w:rsidR="0040675E" w:rsidRPr="00403677">
        <w:rPr>
          <w:sz w:val="20"/>
        </w:rPr>
        <w:t>nd</w:t>
      </w:r>
      <w:r w:rsidR="005A5B1B" w:rsidRPr="00403677">
        <w:rPr>
          <w:sz w:val="20"/>
        </w:rPr>
        <w:t xml:space="preserve"> is still for direct care only.</w:t>
      </w:r>
      <w:r w:rsidR="007102FF" w:rsidRPr="00403677">
        <w:rPr>
          <w:sz w:val="20"/>
        </w:rPr>
        <w:t xml:space="preserve"> </w:t>
      </w:r>
      <w:r w:rsidR="0040675E" w:rsidRPr="00403677">
        <w:rPr>
          <w:sz w:val="20"/>
        </w:rPr>
        <w:t xml:space="preserve">The scope of sharing also </w:t>
      </w:r>
      <w:r w:rsidR="004D29B3" w:rsidRPr="00403677">
        <w:rPr>
          <w:sz w:val="20"/>
        </w:rPr>
        <w:t xml:space="preserve">hasn’t </w:t>
      </w:r>
      <w:r w:rsidR="0040675E" w:rsidRPr="00403677">
        <w:rPr>
          <w:sz w:val="20"/>
        </w:rPr>
        <w:t xml:space="preserve">changed and is still a local shared care record. </w:t>
      </w:r>
      <w:r w:rsidR="005A5B1B" w:rsidRPr="00403677">
        <w:rPr>
          <w:sz w:val="20"/>
        </w:rPr>
        <w:t xml:space="preserve">The principles of fairness and transparency, data minimisation and </w:t>
      </w:r>
      <w:r w:rsidR="0040675E" w:rsidRPr="00403677">
        <w:rPr>
          <w:sz w:val="20"/>
        </w:rPr>
        <w:t>accuracy are already covered adequately.</w:t>
      </w:r>
      <w:r w:rsidR="007102FF" w:rsidRPr="00403677">
        <w:rPr>
          <w:sz w:val="20"/>
        </w:rPr>
        <w:t xml:space="preserve"> </w:t>
      </w:r>
      <w:r w:rsidR="0040675E" w:rsidRPr="00403677">
        <w:rPr>
          <w:sz w:val="20"/>
        </w:rPr>
        <w:t>Data storage is not a concern for YCC as no data is stored outside of the current systems. YCC provides a real time view (look-up) of the GP record without local or remote storage. Integrity and Confidentiality (Security) have always been a key priority for YCC and the existing DSA clearly details the safeguards, both technical and organisational, that are in place.</w:t>
      </w:r>
      <w:r w:rsidR="007102FF" w:rsidRPr="00403677">
        <w:rPr>
          <w:sz w:val="20"/>
        </w:rPr>
        <w:t xml:space="preserve"> </w:t>
      </w:r>
      <w:r w:rsidR="0040675E" w:rsidRPr="00403677">
        <w:rPr>
          <w:sz w:val="20"/>
        </w:rPr>
        <w:t>Individual organisations are of course responsible for compliance with GDPR but the YCC team has done due diligence in checking this compliance, particularly with Healthcare Gateway Limited (HGL) who provide the technical infrastructure for the YCC service.</w:t>
      </w:r>
    </w:p>
    <w:p w:rsidR="0040675E" w:rsidRPr="00403677" w:rsidRDefault="00260B8B" w:rsidP="00A4267A">
      <w:pPr>
        <w:pStyle w:val="Heading2"/>
        <w:rPr>
          <w:sz w:val="24"/>
        </w:rPr>
      </w:pPr>
      <w:r w:rsidRPr="00403677">
        <w:rPr>
          <w:sz w:val="24"/>
        </w:rPr>
        <w:t>Lawful</w:t>
      </w:r>
      <w:r w:rsidR="0040675E" w:rsidRPr="00403677">
        <w:rPr>
          <w:sz w:val="24"/>
        </w:rPr>
        <w:t xml:space="preserve"> Basis for Sharing</w:t>
      </w:r>
    </w:p>
    <w:p w:rsidR="0059618C" w:rsidRPr="00403677" w:rsidRDefault="0040675E" w:rsidP="00001527">
      <w:pPr>
        <w:rPr>
          <w:sz w:val="20"/>
        </w:rPr>
      </w:pPr>
      <w:r w:rsidRPr="00403677">
        <w:rPr>
          <w:sz w:val="20"/>
        </w:rPr>
        <w:t xml:space="preserve">This is the key area where there has been a change </w:t>
      </w:r>
      <w:r w:rsidR="007049C5" w:rsidRPr="00403677">
        <w:rPr>
          <w:sz w:val="20"/>
        </w:rPr>
        <w:t>with</w:t>
      </w:r>
      <w:r w:rsidRPr="00403677">
        <w:rPr>
          <w:sz w:val="20"/>
        </w:rPr>
        <w:t xml:space="preserve"> GDPR</w:t>
      </w:r>
      <w:r w:rsidR="004C4726" w:rsidRPr="00403677">
        <w:rPr>
          <w:sz w:val="20"/>
        </w:rPr>
        <w:t>.</w:t>
      </w:r>
      <w:r w:rsidR="007102FF" w:rsidRPr="00403677">
        <w:rPr>
          <w:sz w:val="20"/>
        </w:rPr>
        <w:t xml:space="preserve"> </w:t>
      </w:r>
      <w:r w:rsidR="004C4726" w:rsidRPr="00403677">
        <w:rPr>
          <w:sz w:val="20"/>
        </w:rPr>
        <w:t>The role of consent</w:t>
      </w:r>
      <w:r w:rsidR="004D29B3" w:rsidRPr="00403677">
        <w:rPr>
          <w:sz w:val="20"/>
        </w:rPr>
        <w:t>, which the current DSA relies on</w:t>
      </w:r>
      <w:r w:rsidR="001C10EC" w:rsidRPr="00403677">
        <w:rPr>
          <w:sz w:val="20"/>
        </w:rPr>
        <w:t xml:space="preserve"> as a lawful basis</w:t>
      </w:r>
      <w:r w:rsidR="004D29B3" w:rsidRPr="00403677">
        <w:rPr>
          <w:sz w:val="20"/>
        </w:rPr>
        <w:t>,</w:t>
      </w:r>
      <w:r w:rsidR="004C4726" w:rsidRPr="00403677">
        <w:rPr>
          <w:sz w:val="20"/>
        </w:rPr>
        <w:t xml:space="preserve"> has changed and organisation</w:t>
      </w:r>
      <w:r w:rsidR="004D29B3" w:rsidRPr="00403677">
        <w:rPr>
          <w:sz w:val="20"/>
        </w:rPr>
        <w:t>s</w:t>
      </w:r>
      <w:r w:rsidR="004C4726" w:rsidRPr="00403677">
        <w:rPr>
          <w:sz w:val="20"/>
        </w:rPr>
        <w:t xml:space="preserve"> must choose one </w:t>
      </w:r>
      <w:r w:rsidR="007049C5" w:rsidRPr="00403677">
        <w:rPr>
          <w:sz w:val="20"/>
        </w:rPr>
        <w:t xml:space="preserve">of the available </w:t>
      </w:r>
      <w:r w:rsidR="00260B8B" w:rsidRPr="00403677">
        <w:rPr>
          <w:sz w:val="20"/>
        </w:rPr>
        <w:t>lawful</w:t>
      </w:r>
      <w:r w:rsidR="004C4726" w:rsidRPr="00403677">
        <w:rPr>
          <w:sz w:val="20"/>
        </w:rPr>
        <w:t xml:space="preserve"> </w:t>
      </w:r>
      <w:r w:rsidR="007049C5" w:rsidRPr="00403677">
        <w:rPr>
          <w:sz w:val="20"/>
        </w:rPr>
        <w:t>bases</w:t>
      </w:r>
      <w:r w:rsidR="004C4726" w:rsidRPr="00403677">
        <w:rPr>
          <w:sz w:val="20"/>
        </w:rPr>
        <w:t xml:space="preserve"> for sharing</w:t>
      </w:r>
      <w:r w:rsidR="001C10EC" w:rsidRPr="00403677">
        <w:rPr>
          <w:sz w:val="20"/>
        </w:rPr>
        <w:t>.</w:t>
      </w:r>
      <w:r w:rsidR="007102FF" w:rsidRPr="00403677">
        <w:rPr>
          <w:sz w:val="20"/>
        </w:rPr>
        <w:t xml:space="preserve"> </w:t>
      </w:r>
      <w:r w:rsidR="001C10EC" w:rsidRPr="00403677">
        <w:rPr>
          <w:sz w:val="20"/>
        </w:rPr>
        <w:t>YCC is</w:t>
      </w:r>
      <w:r w:rsidR="0059618C" w:rsidRPr="00403677">
        <w:rPr>
          <w:sz w:val="20"/>
        </w:rPr>
        <w:t xml:space="preserve"> </w:t>
      </w:r>
      <w:r w:rsidR="001C10EC" w:rsidRPr="00403677">
        <w:rPr>
          <w:sz w:val="20"/>
        </w:rPr>
        <w:t>adopting Section</w:t>
      </w:r>
      <w:r w:rsidR="0059618C" w:rsidRPr="00403677">
        <w:rPr>
          <w:b/>
          <w:sz w:val="20"/>
        </w:rPr>
        <w:t xml:space="preserve"> 6(1)(e) – ‘…perform a task in the public interest or for your official functions…’ </w:t>
      </w:r>
      <w:r w:rsidR="0059618C" w:rsidRPr="00403677">
        <w:rPr>
          <w:sz w:val="20"/>
        </w:rPr>
        <w:t xml:space="preserve">as the </w:t>
      </w:r>
      <w:r w:rsidR="001C10EC" w:rsidRPr="00403677">
        <w:rPr>
          <w:sz w:val="20"/>
        </w:rPr>
        <w:t>lawful</w:t>
      </w:r>
      <w:r w:rsidR="00DA2817" w:rsidRPr="00403677">
        <w:rPr>
          <w:sz w:val="20"/>
        </w:rPr>
        <w:t xml:space="preserve"> basis for sharing under GDPR which is equivalent to </w:t>
      </w:r>
      <w:r w:rsidR="007049C5" w:rsidRPr="00403677">
        <w:rPr>
          <w:sz w:val="20"/>
        </w:rPr>
        <w:t xml:space="preserve">the elements </w:t>
      </w:r>
      <w:r w:rsidR="00DA2817" w:rsidRPr="00403677">
        <w:rPr>
          <w:sz w:val="20"/>
        </w:rPr>
        <w:t>listed in our existing DSA.</w:t>
      </w:r>
      <w:r w:rsidR="007049C5" w:rsidRPr="00403677">
        <w:rPr>
          <w:sz w:val="20"/>
        </w:rPr>
        <w:t xml:space="preserve"> This is the basis suggested by the ICO.</w:t>
      </w:r>
    </w:p>
    <w:p w:rsidR="00D676EC" w:rsidRPr="00403677" w:rsidRDefault="00D676EC" w:rsidP="00883CE4">
      <w:pPr>
        <w:spacing w:before="0" w:after="160" w:line="259" w:lineRule="auto"/>
        <w:rPr>
          <w:sz w:val="20"/>
        </w:rPr>
      </w:pPr>
      <w:r w:rsidRPr="00403677">
        <w:rPr>
          <w:b/>
          <w:sz w:val="20"/>
        </w:rPr>
        <w:t>Table 1</w:t>
      </w:r>
      <w:r w:rsidRPr="00403677">
        <w:rPr>
          <w:sz w:val="20"/>
        </w:rPr>
        <w:t xml:space="preserve"> shows a more detailed consideration of </w:t>
      </w:r>
      <w:r w:rsidR="004D29B3" w:rsidRPr="00403677">
        <w:rPr>
          <w:sz w:val="20"/>
        </w:rPr>
        <w:t xml:space="preserve">the impact of changing the </w:t>
      </w:r>
      <w:r w:rsidR="001C10EC" w:rsidRPr="00403677">
        <w:rPr>
          <w:sz w:val="20"/>
        </w:rPr>
        <w:t>lawful</w:t>
      </w:r>
      <w:r w:rsidR="004D29B3" w:rsidRPr="00403677">
        <w:rPr>
          <w:sz w:val="20"/>
        </w:rPr>
        <w:t xml:space="preserve"> basis for sharing</w:t>
      </w:r>
      <w:r w:rsidR="003C28D9" w:rsidRPr="00403677">
        <w:rPr>
          <w:sz w:val="20"/>
        </w:rPr>
        <w:t xml:space="preserve"> </w:t>
      </w:r>
    </w:p>
    <w:tbl>
      <w:tblPr>
        <w:tblStyle w:val="TableGrid"/>
        <w:tblW w:w="5000" w:type="pct"/>
        <w:tblCellMar>
          <w:left w:w="57" w:type="dxa"/>
          <w:right w:w="57" w:type="dxa"/>
        </w:tblCellMar>
        <w:tblLook w:val="04A0" w:firstRow="1" w:lastRow="0" w:firstColumn="1" w:lastColumn="0" w:noHBand="0" w:noVBand="1"/>
      </w:tblPr>
      <w:tblGrid>
        <w:gridCol w:w="2405"/>
        <w:gridCol w:w="2126"/>
        <w:gridCol w:w="5097"/>
      </w:tblGrid>
      <w:tr w:rsidR="00D676EC" w:rsidRPr="00403677" w:rsidTr="00B87633">
        <w:tc>
          <w:tcPr>
            <w:tcW w:w="1249" w:type="pct"/>
            <w:shd w:val="clear" w:color="auto" w:fill="D9D9D9" w:themeFill="background1" w:themeFillShade="D9"/>
            <w:vAlign w:val="center"/>
          </w:tcPr>
          <w:p w:rsidR="003C28D9" w:rsidRPr="00403677" w:rsidRDefault="00D676EC" w:rsidP="00B87633">
            <w:pPr>
              <w:spacing w:before="20" w:after="20"/>
              <w:jc w:val="center"/>
              <w:rPr>
                <w:b/>
                <w:sz w:val="20"/>
              </w:rPr>
            </w:pPr>
            <w:r w:rsidRPr="00403677">
              <w:rPr>
                <w:b/>
                <w:sz w:val="20"/>
              </w:rPr>
              <w:t xml:space="preserve">Current DSA </w:t>
            </w:r>
            <w:r w:rsidR="00B87633" w:rsidRPr="00403677">
              <w:rPr>
                <w:b/>
                <w:sz w:val="20"/>
              </w:rPr>
              <w:t>lawful</w:t>
            </w:r>
            <w:r w:rsidR="003C28D9" w:rsidRPr="00403677">
              <w:rPr>
                <w:b/>
                <w:sz w:val="20"/>
              </w:rPr>
              <w:t xml:space="preserve"> </w:t>
            </w:r>
            <w:r w:rsidR="00B87633" w:rsidRPr="00403677">
              <w:rPr>
                <w:b/>
                <w:sz w:val="20"/>
              </w:rPr>
              <w:t>b</w:t>
            </w:r>
            <w:r w:rsidRPr="00403677">
              <w:rPr>
                <w:b/>
                <w:sz w:val="20"/>
              </w:rPr>
              <w:t>asis</w:t>
            </w:r>
            <w:r w:rsidR="003C28D9" w:rsidRPr="00403677">
              <w:rPr>
                <w:b/>
                <w:sz w:val="20"/>
              </w:rPr>
              <w:br/>
              <w:t>(section 5 of the DSA)</w:t>
            </w:r>
          </w:p>
        </w:tc>
        <w:tc>
          <w:tcPr>
            <w:tcW w:w="1104" w:type="pct"/>
            <w:shd w:val="clear" w:color="auto" w:fill="D9D9D9" w:themeFill="background1" w:themeFillShade="D9"/>
            <w:vAlign w:val="center"/>
          </w:tcPr>
          <w:p w:rsidR="00D676EC" w:rsidRPr="00403677" w:rsidRDefault="003C28D9" w:rsidP="00B87633">
            <w:pPr>
              <w:spacing w:before="20" w:after="20"/>
              <w:jc w:val="center"/>
              <w:rPr>
                <w:b/>
                <w:sz w:val="20"/>
              </w:rPr>
            </w:pPr>
            <w:r w:rsidRPr="00403677">
              <w:rPr>
                <w:b/>
                <w:sz w:val="20"/>
              </w:rPr>
              <w:t xml:space="preserve">Transition to </w:t>
            </w:r>
            <w:r w:rsidR="00B87633" w:rsidRPr="00403677">
              <w:rPr>
                <w:b/>
                <w:sz w:val="20"/>
              </w:rPr>
              <w:t>lawful</w:t>
            </w:r>
            <w:r w:rsidRPr="00403677">
              <w:rPr>
                <w:b/>
                <w:sz w:val="20"/>
              </w:rPr>
              <w:t xml:space="preserve"> basis under </w:t>
            </w:r>
            <w:r w:rsidR="00D676EC" w:rsidRPr="00403677">
              <w:rPr>
                <w:b/>
                <w:sz w:val="20"/>
              </w:rPr>
              <w:t>GDPR</w:t>
            </w:r>
          </w:p>
        </w:tc>
        <w:tc>
          <w:tcPr>
            <w:tcW w:w="2647" w:type="pct"/>
            <w:shd w:val="clear" w:color="auto" w:fill="D9D9D9" w:themeFill="background1" w:themeFillShade="D9"/>
            <w:vAlign w:val="center"/>
          </w:tcPr>
          <w:p w:rsidR="00D676EC" w:rsidRPr="00403677" w:rsidRDefault="00D676EC" w:rsidP="00B87633">
            <w:pPr>
              <w:spacing w:before="20" w:after="20"/>
              <w:jc w:val="center"/>
              <w:rPr>
                <w:b/>
                <w:sz w:val="20"/>
              </w:rPr>
            </w:pPr>
            <w:r w:rsidRPr="00403677">
              <w:rPr>
                <w:b/>
                <w:sz w:val="20"/>
              </w:rPr>
              <w:t>Comment</w:t>
            </w:r>
          </w:p>
        </w:tc>
      </w:tr>
      <w:tr w:rsidR="00D676EC" w:rsidRPr="00403677" w:rsidTr="00B87633">
        <w:tc>
          <w:tcPr>
            <w:tcW w:w="1249" w:type="pct"/>
          </w:tcPr>
          <w:p w:rsidR="00D676EC" w:rsidRPr="00403677" w:rsidRDefault="00AD2802" w:rsidP="00B87633">
            <w:pPr>
              <w:spacing w:before="20" w:after="20"/>
              <w:rPr>
                <w:sz w:val="20"/>
              </w:rPr>
            </w:pPr>
            <w:r w:rsidRPr="00403677">
              <w:rPr>
                <w:sz w:val="20"/>
              </w:rPr>
              <w:t>S</w:t>
            </w:r>
            <w:r w:rsidR="003C28D9" w:rsidRPr="00403677">
              <w:rPr>
                <w:sz w:val="20"/>
              </w:rPr>
              <w:t xml:space="preserve">chedule </w:t>
            </w:r>
            <w:r w:rsidRPr="00403677">
              <w:rPr>
                <w:sz w:val="20"/>
              </w:rPr>
              <w:t xml:space="preserve">2 </w:t>
            </w:r>
            <w:r w:rsidR="003C28D9" w:rsidRPr="00403677">
              <w:rPr>
                <w:sz w:val="20"/>
              </w:rPr>
              <w:t xml:space="preserve">conditions </w:t>
            </w:r>
            <w:r w:rsidRPr="00403677">
              <w:rPr>
                <w:sz w:val="20"/>
              </w:rPr>
              <w:t xml:space="preserve">- </w:t>
            </w:r>
            <w:r w:rsidR="006603D1" w:rsidRPr="00403677">
              <w:rPr>
                <w:sz w:val="20"/>
              </w:rPr>
              <w:t>Patient Consent (implied at the point of sharing</w:t>
            </w:r>
            <w:r w:rsidR="00A55A8D" w:rsidRPr="00403677">
              <w:rPr>
                <w:sz w:val="20"/>
              </w:rPr>
              <w:t>)</w:t>
            </w:r>
          </w:p>
        </w:tc>
        <w:tc>
          <w:tcPr>
            <w:tcW w:w="1104" w:type="pct"/>
          </w:tcPr>
          <w:p w:rsidR="00D676EC" w:rsidRPr="00403677" w:rsidRDefault="006603D1" w:rsidP="00B87633">
            <w:pPr>
              <w:spacing w:before="20" w:after="20"/>
              <w:rPr>
                <w:sz w:val="20"/>
              </w:rPr>
            </w:pPr>
            <w:r w:rsidRPr="00403677">
              <w:rPr>
                <w:sz w:val="20"/>
              </w:rPr>
              <w:t>n/a</w:t>
            </w:r>
          </w:p>
        </w:tc>
        <w:tc>
          <w:tcPr>
            <w:tcW w:w="2647" w:type="pct"/>
          </w:tcPr>
          <w:p w:rsidR="00D676EC" w:rsidRPr="00403677" w:rsidRDefault="006603D1" w:rsidP="00B87633">
            <w:pPr>
              <w:spacing w:before="20" w:after="20"/>
              <w:rPr>
                <w:sz w:val="20"/>
              </w:rPr>
            </w:pPr>
            <w:r w:rsidRPr="00403677">
              <w:rPr>
                <w:sz w:val="20"/>
              </w:rPr>
              <w:t xml:space="preserve">Even though patient consent is no longer the </w:t>
            </w:r>
            <w:r w:rsidR="00AD2802" w:rsidRPr="00403677">
              <w:rPr>
                <w:sz w:val="20"/>
              </w:rPr>
              <w:t>lawful</w:t>
            </w:r>
            <w:r w:rsidRPr="00403677">
              <w:rPr>
                <w:sz w:val="20"/>
              </w:rPr>
              <w:t xml:space="preserve"> basis for sharing</w:t>
            </w:r>
            <w:r w:rsidR="00487A6C" w:rsidRPr="00403677">
              <w:rPr>
                <w:sz w:val="20"/>
              </w:rPr>
              <w:t>,</w:t>
            </w:r>
            <w:r w:rsidRPr="00403677">
              <w:rPr>
                <w:sz w:val="20"/>
              </w:rPr>
              <w:t xml:space="preserve"> </w:t>
            </w:r>
            <w:r w:rsidR="00487A6C" w:rsidRPr="00403677">
              <w:rPr>
                <w:sz w:val="20"/>
              </w:rPr>
              <w:t>implied consent is</w:t>
            </w:r>
            <w:r w:rsidRPr="00403677">
              <w:rPr>
                <w:sz w:val="20"/>
              </w:rPr>
              <w:t xml:space="preserve"> still the basis for sharing under the com</w:t>
            </w:r>
            <w:r w:rsidR="00487A6C" w:rsidRPr="00403677">
              <w:rPr>
                <w:sz w:val="20"/>
              </w:rPr>
              <w:t>mon law duty of confidentiality.</w:t>
            </w:r>
          </w:p>
        </w:tc>
      </w:tr>
      <w:tr w:rsidR="00D676EC" w:rsidRPr="00403677" w:rsidTr="00B87633">
        <w:tc>
          <w:tcPr>
            <w:tcW w:w="1249" w:type="pct"/>
          </w:tcPr>
          <w:p w:rsidR="00D676EC" w:rsidRPr="00403677" w:rsidRDefault="003C28D9" w:rsidP="00B87633">
            <w:pPr>
              <w:spacing w:before="20" w:after="20"/>
              <w:rPr>
                <w:sz w:val="20"/>
              </w:rPr>
            </w:pPr>
            <w:r w:rsidRPr="00403677">
              <w:rPr>
                <w:sz w:val="20"/>
              </w:rPr>
              <w:t xml:space="preserve">Schedule 2 conditions - </w:t>
            </w:r>
            <w:r w:rsidR="006603D1" w:rsidRPr="00403677">
              <w:rPr>
                <w:sz w:val="20"/>
              </w:rPr>
              <w:t>Vital Interests</w:t>
            </w:r>
          </w:p>
        </w:tc>
        <w:tc>
          <w:tcPr>
            <w:tcW w:w="1104" w:type="pct"/>
          </w:tcPr>
          <w:p w:rsidR="00D676EC" w:rsidRPr="00403677" w:rsidRDefault="00A55A8D" w:rsidP="00B87633">
            <w:pPr>
              <w:spacing w:before="20" w:after="20"/>
              <w:rPr>
                <w:sz w:val="20"/>
              </w:rPr>
            </w:pPr>
            <w:r w:rsidRPr="00403677">
              <w:rPr>
                <w:sz w:val="20"/>
              </w:rPr>
              <w:t>6(1)(</w:t>
            </w:r>
            <w:r w:rsidR="001D3F36" w:rsidRPr="00403677">
              <w:rPr>
                <w:sz w:val="20"/>
              </w:rPr>
              <w:t>d)</w:t>
            </w:r>
            <w:r w:rsidR="003C28D9" w:rsidRPr="00403677">
              <w:rPr>
                <w:sz w:val="20"/>
              </w:rPr>
              <w:t xml:space="preserve"> – ‘…to protect the vital interests…’ </w:t>
            </w:r>
          </w:p>
        </w:tc>
        <w:tc>
          <w:tcPr>
            <w:tcW w:w="2647" w:type="pct"/>
          </w:tcPr>
          <w:p w:rsidR="00D676EC" w:rsidRPr="00403677" w:rsidRDefault="006603D1" w:rsidP="00B87633">
            <w:pPr>
              <w:spacing w:before="20" w:after="20"/>
              <w:rPr>
                <w:sz w:val="20"/>
              </w:rPr>
            </w:pPr>
            <w:r w:rsidRPr="00403677">
              <w:rPr>
                <w:sz w:val="20"/>
              </w:rPr>
              <w:t xml:space="preserve">In the case of an emergency this </w:t>
            </w:r>
            <w:r w:rsidR="00AD2802" w:rsidRPr="00403677">
              <w:rPr>
                <w:sz w:val="20"/>
              </w:rPr>
              <w:t>lawful</w:t>
            </w:r>
            <w:r w:rsidRPr="00403677">
              <w:rPr>
                <w:sz w:val="20"/>
              </w:rPr>
              <w:t xml:space="preserve"> basis is still valid for record access</w:t>
            </w:r>
            <w:r w:rsidR="003C28D9" w:rsidRPr="00403677">
              <w:rPr>
                <w:sz w:val="20"/>
              </w:rPr>
              <w:t xml:space="preserve">, </w:t>
            </w:r>
            <w:r w:rsidR="001D3F36" w:rsidRPr="00403677">
              <w:rPr>
                <w:sz w:val="20"/>
              </w:rPr>
              <w:t>although is effecti</w:t>
            </w:r>
            <w:r w:rsidR="00247594" w:rsidRPr="00403677">
              <w:rPr>
                <w:sz w:val="20"/>
              </w:rPr>
              <w:t>vely also covered under 6(1)(e).</w:t>
            </w:r>
          </w:p>
        </w:tc>
      </w:tr>
      <w:tr w:rsidR="00D676EC" w:rsidRPr="00403677" w:rsidTr="00B87633">
        <w:tc>
          <w:tcPr>
            <w:tcW w:w="1249" w:type="pct"/>
          </w:tcPr>
          <w:p w:rsidR="00D676EC" w:rsidRPr="00403677" w:rsidRDefault="003C28D9" w:rsidP="00B87633">
            <w:pPr>
              <w:spacing w:before="20" w:after="20"/>
              <w:rPr>
                <w:sz w:val="20"/>
              </w:rPr>
            </w:pPr>
            <w:r w:rsidRPr="00403677">
              <w:rPr>
                <w:sz w:val="20"/>
              </w:rPr>
              <w:t xml:space="preserve">Schedule 2 conditions - </w:t>
            </w:r>
            <w:r w:rsidR="003F1A40" w:rsidRPr="00403677">
              <w:rPr>
                <w:sz w:val="20"/>
              </w:rPr>
              <w:t>‘…</w:t>
            </w:r>
            <w:r w:rsidR="00A4267A" w:rsidRPr="00403677">
              <w:rPr>
                <w:i/>
                <w:iCs/>
                <w:sz w:val="20"/>
              </w:rPr>
              <w:t>legitimate interests pursued</w:t>
            </w:r>
            <w:r w:rsidR="003F1A40" w:rsidRPr="00403677">
              <w:rPr>
                <w:i/>
                <w:iCs/>
                <w:sz w:val="20"/>
              </w:rPr>
              <w:t>…’</w:t>
            </w:r>
          </w:p>
        </w:tc>
        <w:tc>
          <w:tcPr>
            <w:tcW w:w="1104" w:type="pct"/>
          </w:tcPr>
          <w:p w:rsidR="00D676EC" w:rsidRPr="00403677" w:rsidRDefault="00A55A8D" w:rsidP="00B87633">
            <w:pPr>
              <w:spacing w:before="20" w:after="20"/>
              <w:rPr>
                <w:sz w:val="20"/>
              </w:rPr>
            </w:pPr>
            <w:r w:rsidRPr="00403677">
              <w:rPr>
                <w:sz w:val="20"/>
              </w:rPr>
              <w:t>6(1)(e)</w:t>
            </w:r>
            <w:r w:rsidR="001D3F36" w:rsidRPr="00403677">
              <w:rPr>
                <w:sz w:val="20"/>
              </w:rPr>
              <w:t xml:space="preserve"> – </w:t>
            </w:r>
            <w:r w:rsidR="001D3F36" w:rsidRPr="00403677">
              <w:rPr>
                <w:i/>
                <w:sz w:val="20"/>
              </w:rPr>
              <w:t>‘…perfor</w:t>
            </w:r>
            <w:r w:rsidR="00A4267A" w:rsidRPr="00403677">
              <w:rPr>
                <w:i/>
                <w:sz w:val="20"/>
              </w:rPr>
              <w:t>m a task in the public interest</w:t>
            </w:r>
            <w:r w:rsidR="001D3F36" w:rsidRPr="00403677">
              <w:rPr>
                <w:i/>
                <w:sz w:val="20"/>
              </w:rPr>
              <w:t>…’</w:t>
            </w:r>
          </w:p>
        </w:tc>
        <w:tc>
          <w:tcPr>
            <w:tcW w:w="2647" w:type="pct"/>
          </w:tcPr>
          <w:p w:rsidR="001D3F36" w:rsidRPr="00403677" w:rsidRDefault="00A55A8D" w:rsidP="00B87633">
            <w:pPr>
              <w:spacing w:before="20" w:after="20"/>
              <w:rPr>
                <w:sz w:val="20"/>
              </w:rPr>
            </w:pPr>
            <w:r w:rsidRPr="00403677">
              <w:rPr>
                <w:sz w:val="20"/>
              </w:rPr>
              <w:t>The ICO is clear that legitimate interest can no longer be used by a public authority and has directed instead</w:t>
            </w:r>
            <w:r w:rsidR="001D3F36" w:rsidRPr="00403677">
              <w:rPr>
                <w:sz w:val="20"/>
              </w:rPr>
              <w:t xml:space="preserve"> that 6(1)(e) is likely to be the most appropriate </w:t>
            </w:r>
            <w:r w:rsidR="001C10EC" w:rsidRPr="00403677">
              <w:rPr>
                <w:sz w:val="20"/>
              </w:rPr>
              <w:t>lawful</w:t>
            </w:r>
            <w:r w:rsidR="001D3F36" w:rsidRPr="00403677">
              <w:rPr>
                <w:sz w:val="20"/>
              </w:rPr>
              <w:t xml:space="preserve"> basis.</w:t>
            </w:r>
            <w:r w:rsidR="007102FF" w:rsidRPr="00403677">
              <w:rPr>
                <w:sz w:val="20"/>
              </w:rPr>
              <w:t xml:space="preserve"> </w:t>
            </w:r>
            <w:r w:rsidR="001D3F36" w:rsidRPr="00403677">
              <w:rPr>
                <w:sz w:val="20"/>
              </w:rPr>
              <w:t xml:space="preserve">This basis is new in GDPR and is the equivalent to legitimate interests </w:t>
            </w:r>
            <w:r w:rsidR="003F1A40" w:rsidRPr="00403677">
              <w:rPr>
                <w:sz w:val="20"/>
              </w:rPr>
              <w:t>for public authorities.</w:t>
            </w:r>
          </w:p>
        </w:tc>
      </w:tr>
      <w:tr w:rsidR="00D676EC" w:rsidRPr="00403677" w:rsidTr="00B87633">
        <w:tc>
          <w:tcPr>
            <w:tcW w:w="1249" w:type="pct"/>
          </w:tcPr>
          <w:p w:rsidR="00D676EC" w:rsidRPr="00403677" w:rsidRDefault="003C28D9" w:rsidP="00B87633">
            <w:pPr>
              <w:spacing w:before="20" w:after="20"/>
              <w:rPr>
                <w:sz w:val="20"/>
              </w:rPr>
            </w:pPr>
            <w:r w:rsidRPr="00403677">
              <w:rPr>
                <w:sz w:val="20"/>
              </w:rPr>
              <w:t xml:space="preserve">Schedule 3 conditions </w:t>
            </w:r>
            <w:r w:rsidR="00A4267A" w:rsidRPr="00403677">
              <w:rPr>
                <w:sz w:val="20"/>
              </w:rPr>
              <w:t>–</w:t>
            </w:r>
            <w:r w:rsidRPr="00403677">
              <w:rPr>
                <w:sz w:val="20"/>
              </w:rPr>
              <w:t xml:space="preserve"> </w:t>
            </w:r>
            <w:r w:rsidR="00A4267A" w:rsidRPr="00403677">
              <w:rPr>
                <w:i/>
                <w:sz w:val="20"/>
              </w:rPr>
              <w:t>‘…necessary for medical purposes…’</w:t>
            </w:r>
          </w:p>
        </w:tc>
        <w:tc>
          <w:tcPr>
            <w:tcW w:w="1104" w:type="pct"/>
          </w:tcPr>
          <w:p w:rsidR="00D676EC" w:rsidRPr="00403677" w:rsidRDefault="006603D1" w:rsidP="00B87633">
            <w:pPr>
              <w:spacing w:before="20" w:after="20"/>
              <w:rPr>
                <w:sz w:val="20"/>
              </w:rPr>
            </w:pPr>
            <w:r w:rsidRPr="00403677">
              <w:rPr>
                <w:sz w:val="20"/>
              </w:rPr>
              <w:t>9(2</w:t>
            </w:r>
            <w:r w:rsidR="00A4267A" w:rsidRPr="00403677">
              <w:rPr>
                <w:sz w:val="20"/>
              </w:rPr>
              <w:t xml:space="preserve">)(h) - </w:t>
            </w:r>
            <w:r w:rsidR="00260B8B" w:rsidRPr="00403677">
              <w:rPr>
                <w:i/>
                <w:sz w:val="20"/>
              </w:rPr>
              <w:t>‘…pro</w:t>
            </w:r>
            <w:r w:rsidR="00A4267A" w:rsidRPr="00403677">
              <w:rPr>
                <w:i/>
                <w:sz w:val="20"/>
              </w:rPr>
              <w:t>vision of health or social care</w:t>
            </w:r>
            <w:r w:rsidR="00260B8B" w:rsidRPr="00403677">
              <w:rPr>
                <w:i/>
                <w:sz w:val="20"/>
              </w:rPr>
              <w:t>…’</w:t>
            </w:r>
          </w:p>
        </w:tc>
        <w:tc>
          <w:tcPr>
            <w:tcW w:w="2647" w:type="pct"/>
          </w:tcPr>
          <w:p w:rsidR="00D676EC" w:rsidRPr="00403677" w:rsidRDefault="00260B8B" w:rsidP="00B87633">
            <w:pPr>
              <w:spacing w:before="20" w:after="20"/>
              <w:rPr>
                <w:sz w:val="20"/>
              </w:rPr>
            </w:pPr>
            <w:r w:rsidRPr="00403677">
              <w:rPr>
                <w:sz w:val="20"/>
              </w:rPr>
              <w:t xml:space="preserve">This lawful basis for the processing of </w:t>
            </w:r>
            <w:r w:rsidR="003F1A40" w:rsidRPr="00403677">
              <w:rPr>
                <w:sz w:val="20"/>
              </w:rPr>
              <w:t>special category data is unchanged</w:t>
            </w:r>
          </w:p>
        </w:tc>
      </w:tr>
    </w:tbl>
    <w:p w:rsidR="003F1A40" w:rsidRPr="00403677" w:rsidRDefault="003F1A40" w:rsidP="00001527">
      <w:pPr>
        <w:rPr>
          <w:sz w:val="20"/>
        </w:rPr>
      </w:pPr>
      <w:r w:rsidRPr="00403677">
        <w:rPr>
          <w:sz w:val="20"/>
        </w:rPr>
        <w:t>YCC believe</w:t>
      </w:r>
      <w:r w:rsidR="00872A69" w:rsidRPr="00403677">
        <w:rPr>
          <w:sz w:val="20"/>
        </w:rPr>
        <w:t>s</w:t>
      </w:r>
      <w:r w:rsidRPr="00403677">
        <w:rPr>
          <w:sz w:val="20"/>
        </w:rPr>
        <w:t xml:space="preserve"> that whilst the</w:t>
      </w:r>
      <w:r w:rsidR="0057696B" w:rsidRPr="00403677">
        <w:rPr>
          <w:sz w:val="20"/>
        </w:rPr>
        <w:t xml:space="preserve"> description of the</w:t>
      </w:r>
      <w:r w:rsidRPr="00403677">
        <w:rPr>
          <w:sz w:val="20"/>
        </w:rPr>
        <w:t xml:space="preserve"> </w:t>
      </w:r>
      <w:r w:rsidR="00831FCA" w:rsidRPr="00403677">
        <w:rPr>
          <w:sz w:val="20"/>
        </w:rPr>
        <w:t>lawful</w:t>
      </w:r>
      <w:r w:rsidRPr="00403677">
        <w:rPr>
          <w:sz w:val="20"/>
        </w:rPr>
        <w:t xml:space="preserve"> basis has changed because of the new legislation </w:t>
      </w:r>
      <w:r w:rsidR="00831FCA" w:rsidRPr="00403677">
        <w:rPr>
          <w:sz w:val="20"/>
        </w:rPr>
        <w:t xml:space="preserve">the </w:t>
      </w:r>
      <w:r w:rsidR="001C5F01" w:rsidRPr="00403677">
        <w:rPr>
          <w:sz w:val="20"/>
        </w:rPr>
        <w:t>spirit and principle of the lawful basis remains unchanged</w:t>
      </w:r>
      <w:r w:rsidR="00EE54BC" w:rsidRPr="00403677">
        <w:rPr>
          <w:sz w:val="20"/>
        </w:rPr>
        <w:t>.</w:t>
      </w:r>
      <w:r w:rsidR="007102FF" w:rsidRPr="00403677">
        <w:rPr>
          <w:sz w:val="20"/>
        </w:rPr>
        <w:t xml:space="preserve"> </w:t>
      </w:r>
      <w:r w:rsidR="00EE54BC" w:rsidRPr="00403677">
        <w:rPr>
          <w:sz w:val="20"/>
        </w:rPr>
        <w:t>The principle change is</w:t>
      </w:r>
      <w:r w:rsidR="006A64F9" w:rsidRPr="00403677">
        <w:rPr>
          <w:sz w:val="20"/>
        </w:rPr>
        <w:t xml:space="preserve"> to the public task basis </w:t>
      </w:r>
      <w:r w:rsidR="0075195E" w:rsidRPr="00403677">
        <w:rPr>
          <w:sz w:val="20"/>
        </w:rPr>
        <w:t xml:space="preserve">which did not exist in the DPA98 and is the </w:t>
      </w:r>
      <w:r w:rsidR="00316007" w:rsidRPr="00403677">
        <w:rPr>
          <w:sz w:val="20"/>
        </w:rPr>
        <w:t xml:space="preserve">closest </w:t>
      </w:r>
      <w:r w:rsidR="007108A5" w:rsidRPr="00403677">
        <w:rPr>
          <w:sz w:val="20"/>
        </w:rPr>
        <w:t>new equivalent to the old legitimate interest</w:t>
      </w:r>
      <w:r w:rsidR="00E577A5" w:rsidRPr="00403677">
        <w:rPr>
          <w:sz w:val="20"/>
        </w:rPr>
        <w:t xml:space="preserve"> (which can no longer be used by public authorities).</w:t>
      </w:r>
      <w:r w:rsidR="007102FF" w:rsidRPr="00403677">
        <w:rPr>
          <w:sz w:val="20"/>
        </w:rPr>
        <w:t xml:space="preserve"> </w:t>
      </w:r>
    </w:p>
    <w:p w:rsidR="00E87371" w:rsidRPr="00403677" w:rsidRDefault="00487A6C" w:rsidP="00A4267A">
      <w:pPr>
        <w:pStyle w:val="Heading2"/>
        <w:rPr>
          <w:sz w:val="24"/>
        </w:rPr>
      </w:pPr>
      <w:r w:rsidRPr="00403677">
        <w:rPr>
          <w:sz w:val="24"/>
        </w:rPr>
        <w:lastRenderedPageBreak/>
        <w:t>P</w:t>
      </w:r>
      <w:r w:rsidR="00E87371" w:rsidRPr="00403677">
        <w:rPr>
          <w:sz w:val="24"/>
        </w:rPr>
        <w:t xml:space="preserve">ermission to View at the point of </w:t>
      </w:r>
      <w:r w:rsidR="00316007" w:rsidRPr="00403677">
        <w:rPr>
          <w:sz w:val="24"/>
        </w:rPr>
        <w:t>Care</w:t>
      </w:r>
    </w:p>
    <w:p w:rsidR="00E75940" w:rsidRPr="00403677" w:rsidRDefault="00E75940" w:rsidP="00001527">
      <w:pPr>
        <w:rPr>
          <w:sz w:val="20"/>
        </w:rPr>
      </w:pPr>
      <w:r w:rsidRPr="00403677">
        <w:rPr>
          <w:sz w:val="20"/>
        </w:rPr>
        <w:t xml:space="preserve">The YCC DSA </w:t>
      </w:r>
      <w:r w:rsidR="00BC6399" w:rsidRPr="00403677">
        <w:rPr>
          <w:sz w:val="20"/>
        </w:rPr>
        <w:t>has a section on permission to view</w:t>
      </w:r>
      <w:r w:rsidR="00487A6C" w:rsidRPr="00403677">
        <w:rPr>
          <w:sz w:val="20"/>
        </w:rPr>
        <w:t>:</w:t>
      </w:r>
    </w:p>
    <w:p w:rsidR="00E75940" w:rsidRPr="00403677" w:rsidRDefault="009E5C72" w:rsidP="00A4267A">
      <w:pPr>
        <w:ind w:left="567" w:right="566"/>
        <w:rPr>
          <w:i/>
          <w:sz w:val="20"/>
        </w:rPr>
      </w:pPr>
      <w:r w:rsidRPr="00403677">
        <w:rPr>
          <w:i/>
          <w:sz w:val="20"/>
        </w:rPr>
        <w:t xml:space="preserve">Section </w:t>
      </w:r>
      <w:r w:rsidR="00941D75" w:rsidRPr="00403677">
        <w:rPr>
          <w:i/>
          <w:sz w:val="20"/>
        </w:rPr>
        <w:t xml:space="preserve">8.3.1 </w:t>
      </w:r>
      <w:r w:rsidRPr="00403677">
        <w:rPr>
          <w:i/>
          <w:sz w:val="20"/>
        </w:rPr>
        <w:t xml:space="preserve">- </w:t>
      </w:r>
      <w:r w:rsidR="00941D75" w:rsidRPr="00403677">
        <w:rPr>
          <w:i/>
          <w:sz w:val="20"/>
        </w:rPr>
        <w:t xml:space="preserve">To view a record available in YCC during Phase One, Permission to View must be sought in one of two ways: either by a Relevant Healthcare Professional at the point of care, or by the patient’s GP at the time of referral to the NHS Service Provider. </w:t>
      </w:r>
    </w:p>
    <w:p w:rsidR="007102FF" w:rsidRPr="00403677" w:rsidRDefault="007102FF" w:rsidP="00001527">
      <w:pPr>
        <w:rPr>
          <w:sz w:val="20"/>
        </w:rPr>
      </w:pPr>
      <w:r w:rsidRPr="00403677">
        <w:rPr>
          <w:sz w:val="20"/>
        </w:rPr>
        <w:t>As consent is no longer the lawful basis for data sharing</w:t>
      </w:r>
      <w:r w:rsidR="00C53682" w:rsidRPr="00403677">
        <w:rPr>
          <w:sz w:val="20"/>
        </w:rPr>
        <w:t>,</w:t>
      </w:r>
      <w:r w:rsidRPr="00403677">
        <w:rPr>
          <w:sz w:val="20"/>
        </w:rPr>
        <w:t xml:space="preserve"> the Permission to View detailed in the original DSA is only relevant to the common law duty of confidentiality. For unscheduled care the treating clinician would still ask for permission to view the GP record where possible. For scheduled care</w:t>
      </w:r>
      <w:r w:rsidR="00C53682" w:rsidRPr="00403677">
        <w:rPr>
          <w:sz w:val="20"/>
        </w:rPr>
        <w:t>,</w:t>
      </w:r>
      <w:r w:rsidRPr="00403677">
        <w:rPr>
          <w:sz w:val="20"/>
        </w:rPr>
        <w:t xml:space="preserve"> on referral</w:t>
      </w:r>
      <w:r w:rsidR="00C53682" w:rsidRPr="00403677">
        <w:rPr>
          <w:sz w:val="20"/>
        </w:rPr>
        <w:t xml:space="preserve">, </w:t>
      </w:r>
      <w:r w:rsidRPr="00403677">
        <w:rPr>
          <w:sz w:val="20"/>
        </w:rPr>
        <w:t xml:space="preserve">the </w:t>
      </w:r>
      <w:r w:rsidR="00C53682" w:rsidRPr="00403677">
        <w:rPr>
          <w:sz w:val="20"/>
        </w:rPr>
        <w:t xml:space="preserve">patient has given </w:t>
      </w:r>
      <w:r w:rsidRPr="00403677">
        <w:rPr>
          <w:sz w:val="20"/>
        </w:rPr>
        <w:t xml:space="preserve">permission </w:t>
      </w:r>
      <w:r w:rsidR="00B87633" w:rsidRPr="00403677">
        <w:rPr>
          <w:sz w:val="20"/>
        </w:rPr>
        <w:t xml:space="preserve">through implied consent </w:t>
      </w:r>
      <w:r w:rsidRPr="00403677">
        <w:rPr>
          <w:sz w:val="20"/>
        </w:rPr>
        <w:t xml:space="preserve">to share </w:t>
      </w:r>
      <w:r w:rsidR="00B87633" w:rsidRPr="00403677">
        <w:rPr>
          <w:sz w:val="20"/>
        </w:rPr>
        <w:t xml:space="preserve">relevant </w:t>
      </w:r>
      <w:r w:rsidR="00C53682" w:rsidRPr="00403677">
        <w:rPr>
          <w:sz w:val="20"/>
        </w:rPr>
        <w:t>information</w:t>
      </w:r>
      <w:r w:rsidRPr="00403677">
        <w:rPr>
          <w:sz w:val="20"/>
        </w:rPr>
        <w:t xml:space="preserve">, as outlined in the </w:t>
      </w:r>
      <w:hyperlink r:id="rId9" w:history="1">
        <w:r w:rsidRPr="00403677">
          <w:rPr>
            <w:rStyle w:val="Hyperlink"/>
            <w:sz w:val="20"/>
          </w:rPr>
          <w:t>G</w:t>
        </w:r>
        <w:r w:rsidR="0019531B" w:rsidRPr="00403677">
          <w:rPr>
            <w:rStyle w:val="Hyperlink"/>
            <w:sz w:val="20"/>
          </w:rPr>
          <w:t>MC guidance on confidentiality</w:t>
        </w:r>
      </w:hyperlink>
      <w:r w:rsidR="0019531B" w:rsidRPr="00403677">
        <w:rPr>
          <w:sz w:val="20"/>
        </w:rPr>
        <w:t>:</w:t>
      </w:r>
    </w:p>
    <w:p w:rsidR="0019531B" w:rsidRPr="00403677" w:rsidRDefault="0019531B" w:rsidP="0019531B">
      <w:pPr>
        <w:ind w:left="720" w:right="566"/>
        <w:rPr>
          <w:rFonts w:cs="Arial"/>
          <w:i/>
          <w:color w:val="4A4A4A"/>
          <w:sz w:val="20"/>
          <w:shd w:val="clear" w:color="auto" w:fill="FFFFFF"/>
        </w:rPr>
      </w:pPr>
      <w:r w:rsidRPr="00403677">
        <w:rPr>
          <w:rFonts w:cs="Arial"/>
          <w:i/>
          <w:color w:val="4A4A4A"/>
          <w:sz w:val="20"/>
          <w:shd w:val="clear" w:color="auto" w:fill="FFFFFF"/>
        </w:rPr>
        <w:t>‘You may rely on implied consent to access relevant information about the patient or to share it with those who provide (or support the provision of) direct care…’</w:t>
      </w:r>
    </w:p>
    <w:p w:rsidR="009A2EB9" w:rsidRPr="00403677" w:rsidRDefault="009A2EB9" w:rsidP="00A4267A">
      <w:pPr>
        <w:pStyle w:val="Heading2"/>
        <w:rPr>
          <w:sz w:val="24"/>
        </w:rPr>
      </w:pPr>
      <w:r w:rsidRPr="00403677">
        <w:rPr>
          <w:sz w:val="24"/>
        </w:rPr>
        <w:t>Changes in terminology</w:t>
      </w:r>
      <w:r w:rsidR="009E5C72" w:rsidRPr="00403677">
        <w:rPr>
          <w:sz w:val="24"/>
        </w:rPr>
        <w:t xml:space="preserve"> </w:t>
      </w:r>
    </w:p>
    <w:p w:rsidR="009A2EB9" w:rsidRPr="00403677" w:rsidRDefault="00B87633" w:rsidP="009A2EB9">
      <w:pPr>
        <w:pStyle w:val="ListParagraph"/>
        <w:ind w:left="0"/>
        <w:rPr>
          <w:sz w:val="20"/>
        </w:rPr>
      </w:pPr>
      <w:r w:rsidRPr="00403677">
        <w:rPr>
          <w:sz w:val="20"/>
        </w:rPr>
        <w:t>The terminology used in the DSA requires</w:t>
      </w:r>
      <w:r w:rsidR="009E5C72" w:rsidRPr="00403677">
        <w:rPr>
          <w:sz w:val="20"/>
        </w:rPr>
        <w:t xml:space="preserve"> updating </w:t>
      </w:r>
      <w:r w:rsidR="00315346" w:rsidRPr="00403677">
        <w:rPr>
          <w:sz w:val="20"/>
        </w:rPr>
        <w:t>to reflect current legislation and practice.</w:t>
      </w:r>
      <w:r w:rsidR="007102FF" w:rsidRPr="00403677">
        <w:rPr>
          <w:sz w:val="20"/>
        </w:rPr>
        <w:t xml:space="preserve"> </w:t>
      </w:r>
      <w:r w:rsidR="001C10EC" w:rsidRPr="00403677">
        <w:rPr>
          <w:sz w:val="20"/>
        </w:rPr>
        <w:t>These</w:t>
      </w:r>
      <w:r w:rsidR="008B4558" w:rsidRPr="00403677">
        <w:rPr>
          <w:sz w:val="20"/>
        </w:rPr>
        <w:t xml:space="preserve"> are the changes</w:t>
      </w:r>
      <w:r w:rsidR="00080B5B" w:rsidRPr="00403677">
        <w:rPr>
          <w:sz w:val="20"/>
        </w:rPr>
        <w:t xml:space="preserve"> to consider when reading the current DSA</w:t>
      </w:r>
      <w:r w:rsidR="001C10EC" w:rsidRPr="00403677">
        <w:rPr>
          <w:sz w:val="20"/>
        </w:rPr>
        <w:t>:</w:t>
      </w:r>
    </w:p>
    <w:p w:rsidR="008B4558" w:rsidRPr="00403677" w:rsidRDefault="008B4558" w:rsidP="009A2EB9">
      <w:pPr>
        <w:pStyle w:val="ListParagraph"/>
        <w:ind w:left="0"/>
        <w:rPr>
          <w:sz w:val="20"/>
        </w:rPr>
      </w:pPr>
    </w:p>
    <w:p w:rsidR="008B4558" w:rsidRPr="00403677" w:rsidRDefault="00080B5B" w:rsidP="008B4558">
      <w:pPr>
        <w:pStyle w:val="ListParagraph"/>
        <w:numPr>
          <w:ilvl w:val="0"/>
          <w:numId w:val="3"/>
        </w:numPr>
        <w:rPr>
          <w:sz w:val="20"/>
        </w:rPr>
      </w:pPr>
      <w:r w:rsidRPr="00403677">
        <w:rPr>
          <w:sz w:val="20"/>
        </w:rPr>
        <w:t xml:space="preserve">All references to DPA98 </w:t>
      </w:r>
      <w:r w:rsidR="00CD5D1F" w:rsidRPr="00403677">
        <w:rPr>
          <w:sz w:val="20"/>
        </w:rPr>
        <w:t>should be considered as reference</w:t>
      </w:r>
      <w:r w:rsidRPr="00403677">
        <w:rPr>
          <w:sz w:val="20"/>
        </w:rPr>
        <w:t xml:space="preserve"> to DPA18</w:t>
      </w:r>
    </w:p>
    <w:p w:rsidR="00F41E38" w:rsidRPr="00403677" w:rsidRDefault="00080B5B" w:rsidP="008B4558">
      <w:pPr>
        <w:pStyle w:val="ListParagraph"/>
        <w:numPr>
          <w:ilvl w:val="0"/>
          <w:numId w:val="3"/>
        </w:numPr>
        <w:rPr>
          <w:sz w:val="20"/>
        </w:rPr>
      </w:pPr>
      <w:r w:rsidRPr="00403677">
        <w:rPr>
          <w:sz w:val="20"/>
        </w:rPr>
        <w:t xml:space="preserve">GDPR and DPA18 are terms used interchangeably </w:t>
      </w:r>
      <w:r w:rsidR="00F41E38" w:rsidRPr="00403677">
        <w:rPr>
          <w:sz w:val="20"/>
        </w:rPr>
        <w:t xml:space="preserve">as DPA18 is the UK enactment of the GDPR. </w:t>
      </w:r>
    </w:p>
    <w:p w:rsidR="00A4267A" w:rsidRPr="00403677" w:rsidRDefault="00294E6D" w:rsidP="00883CE4">
      <w:pPr>
        <w:pStyle w:val="ListParagraph"/>
        <w:numPr>
          <w:ilvl w:val="0"/>
          <w:numId w:val="3"/>
        </w:numPr>
        <w:rPr>
          <w:sz w:val="20"/>
        </w:rPr>
      </w:pPr>
      <w:r w:rsidRPr="00403677">
        <w:rPr>
          <w:sz w:val="20"/>
        </w:rPr>
        <w:t>‘</w:t>
      </w:r>
      <w:r w:rsidR="00116162" w:rsidRPr="00403677">
        <w:rPr>
          <w:sz w:val="20"/>
        </w:rPr>
        <w:t>Data Controllers in Common</w:t>
      </w:r>
      <w:r w:rsidRPr="00403677">
        <w:rPr>
          <w:sz w:val="20"/>
        </w:rPr>
        <w:t>’</w:t>
      </w:r>
      <w:r w:rsidR="00116162" w:rsidRPr="00403677">
        <w:rPr>
          <w:sz w:val="20"/>
        </w:rPr>
        <w:t xml:space="preserve"> has been replaced by the term </w:t>
      </w:r>
      <w:r w:rsidRPr="00403677">
        <w:rPr>
          <w:sz w:val="20"/>
        </w:rPr>
        <w:t>‘</w:t>
      </w:r>
      <w:r w:rsidR="00116162" w:rsidRPr="00403677">
        <w:rPr>
          <w:sz w:val="20"/>
        </w:rPr>
        <w:t xml:space="preserve">Joint Data </w:t>
      </w:r>
      <w:r w:rsidRPr="00403677">
        <w:rPr>
          <w:sz w:val="20"/>
        </w:rPr>
        <w:t>C</w:t>
      </w:r>
      <w:r w:rsidR="00116162" w:rsidRPr="00403677">
        <w:rPr>
          <w:sz w:val="20"/>
        </w:rPr>
        <w:t>ontrollers</w:t>
      </w:r>
      <w:r w:rsidRPr="00403677">
        <w:rPr>
          <w:sz w:val="20"/>
        </w:rPr>
        <w:t>’</w:t>
      </w:r>
      <w:r w:rsidR="00F41E38" w:rsidRPr="00403677">
        <w:rPr>
          <w:sz w:val="20"/>
        </w:rPr>
        <w:t xml:space="preserve"> </w:t>
      </w:r>
    </w:p>
    <w:p w:rsidR="001F7965" w:rsidRPr="00403677" w:rsidRDefault="001F7965" w:rsidP="00A4267A">
      <w:pPr>
        <w:pStyle w:val="Heading2"/>
        <w:rPr>
          <w:sz w:val="24"/>
        </w:rPr>
      </w:pPr>
      <w:r w:rsidRPr="00403677">
        <w:rPr>
          <w:sz w:val="24"/>
        </w:rPr>
        <w:t>YCC under GDPR</w:t>
      </w:r>
    </w:p>
    <w:p w:rsidR="00237661" w:rsidRDefault="00237661" w:rsidP="00456BAC">
      <w:pPr>
        <w:rPr>
          <w:sz w:val="20"/>
        </w:rPr>
      </w:pPr>
      <w:r w:rsidRPr="00403677">
        <w:rPr>
          <w:sz w:val="20"/>
        </w:rPr>
        <w:t>Appendix 1 shows how YCC complies under GDPR</w:t>
      </w:r>
      <w:r>
        <w:rPr>
          <w:sz w:val="20"/>
        </w:rPr>
        <w:t xml:space="preserve">, which will also be made </w:t>
      </w:r>
      <w:r w:rsidRPr="00403677">
        <w:rPr>
          <w:sz w:val="20"/>
        </w:rPr>
        <w:t>available on our website</w:t>
      </w:r>
      <w:r w:rsidR="00C90CD8">
        <w:rPr>
          <w:sz w:val="20"/>
        </w:rPr>
        <w:t xml:space="preserve"> and given to GP practices to enable them to update their ow</w:t>
      </w:r>
      <w:r w:rsidR="00923D42">
        <w:rPr>
          <w:sz w:val="20"/>
        </w:rPr>
        <w:t>n privacy notices. All patients</w:t>
      </w:r>
      <w:r>
        <w:rPr>
          <w:sz w:val="20"/>
        </w:rPr>
        <w:t xml:space="preserve"> </w:t>
      </w:r>
      <w:r w:rsidR="00C90CD8">
        <w:rPr>
          <w:sz w:val="20"/>
        </w:rPr>
        <w:t xml:space="preserve">currently enrolled in YCC have been informed that their data is being shared, who it is shared with and for what purpose, and been given the option to opt out.  They have also been informed that any changes will be updated on our website. We </w:t>
      </w:r>
      <w:r w:rsidR="00923D42">
        <w:rPr>
          <w:sz w:val="20"/>
        </w:rPr>
        <w:t xml:space="preserve">will </w:t>
      </w:r>
      <w:r w:rsidR="00C90CD8">
        <w:rPr>
          <w:sz w:val="20"/>
        </w:rPr>
        <w:t>also support practices and providers in meeting their fair processing duties through the provision of posters and leaflets.</w:t>
      </w:r>
    </w:p>
    <w:p w:rsidR="00001527" w:rsidRPr="00403677" w:rsidRDefault="00001527" w:rsidP="00456BAC">
      <w:pPr>
        <w:rPr>
          <w:sz w:val="20"/>
        </w:rPr>
      </w:pPr>
      <w:r w:rsidRPr="00403677">
        <w:rPr>
          <w:sz w:val="20"/>
        </w:rPr>
        <w:br w:type="page"/>
      </w:r>
    </w:p>
    <w:p w:rsidR="00A4267A" w:rsidRPr="00403677" w:rsidRDefault="00A4267A" w:rsidP="00A4267A">
      <w:pPr>
        <w:pStyle w:val="Heading2"/>
        <w:rPr>
          <w:sz w:val="24"/>
        </w:rPr>
      </w:pPr>
      <w:bookmarkStart w:id="1" w:name="_Toc529549357"/>
      <w:r w:rsidRPr="00403677">
        <w:rPr>
          <w:sz w:val="24"/>
        </w:rPr>
        <w:t>Appendix 1</w:t>
      </w:r>
    </w:p>
    <w:p w:rsidR="00A4267A" w:rsidRPr="00403677" w:rsidRDefault="00A4267A" w:rsidP="00A4267A">
      <w:pPr>
        <w:pStyle w:val="NoSpacing"/>
        <w:rPr>
          <w:sz w:val="20"/>
        </w:rPr>
      </w:pPr>
    </w:p>
    <w:bookmarkEnd w:id="1"/>
    <w:p w:rsidR="009E5C72" w:rsidRPr="00403677" w:rsidRDefault="00720865" w:rsidP="009E5C72">
      <w:pPr>
        <w:keepNext/>
        <w:keepLines/>
        <w:pBdr>
          <w:top w:val="single" w:sz="4" w:space="1" w:color="auto"/>
          <w:left w:val="single" w:sz="4" w:space="4" w:color="auto"/>
          <w:bottom w:val="single" w:sz="4" w:space="1" w:color="auto"/>
          <w:right w:val="single" w:sz="4" w:space="4" w:color="auto"/>
        </w:pBdr>
        <w:shd w:val="clear" w:color="auto" w:fill="D9E2F3"/>
        <w:spacing w:after="0" w:line="264" w:lineRule="auto"/>
        <w:jc w:val="center"/>
        <w:outlineLvl w:val="0"/>
        <w:rPr>
          <w:rFonts w:ascii="Calibri Light" w:eastAsia="Times New Roman" w:hAnsi="Calibri Light" w:cs="Times New Roman"/>
          <w:b/>
          <w:color w:val="002060"/>
          <w:sz w:val="30"/>
          <w:szCs w:val="32"/>
        </w:rPr>
      </w:pPr>
      <w:r w:rsidRPr="00163B99">
        <w:rPr>
          <w:rFonts w:ascii="Calibri Light" w:eastAsia="Times New Roman" w:hAnsi="Calibri Light" w:cs="Times New Roman"/>
          <w:b/>
          <w:color w:val="002060"/>
          <w:sz w:val="32"/>
          <w:szCs w:val="32"/>
        </w:rPr>
        <w:t>Your Care Connected</w:t>
      </w:r>
      <w:r>
        <w:rPr>
          <w:rFonts w:ascii="Calibri Light" w:eastAsia="Times New Roman" w:hAnsi="Calibri Light" w:cs="Times New Roman"/>
          <w:b/>
          <w:color w:val="002060"/>
          <w:sz w:val="32"/>
          <w:szCs w:val="32"/>
        </w:rPr>
        <w:t xml:space="preserve"> (YCC) Data Sharing Agreement: </w:t>
      </w:r>
      <w:r w:rsidRPr="00163B99">
        <w:rPr>
          <w:rFonts w:ascii="Calibri Light" w:eastAsia="Times New Roman" w:hAnsi="Calibri Light" w:cs="Times New Roman"/>
          <w:b/>
          <w:color w:val="002060"/>
          <w:sz w:val="32"/>
          <w:szCs w:val="32"/>
        </w:rPr>
        <w:t xml:space="preserve">GDPR </w:t>
      </w:r>
      <w:r>
        <w:rPr>
          <w:rFonts w:ascii="Calibri Light" w:eastAsia="Times New Roman" w:hAnsi="Calibri Light" w:cs="Times New Roman"/>
          <w:b/>
          <w:color w:val="002060"/>
          <w:sz w:val="32"/>
          <w:szCs w:val="32"/>
        </w:rPr>
        <w:t>Addendum</w:t>
      </w:r>
    </w:p>
    <w:p w:rsidR="009E5C72" w:rsidRPr="00403677" w:rsidRDefault="009E5C72" w:rsidP="009E5C72">
      <w:pPr>
        <w:keepNext/>
        <w:keepLines/>
        <w:pBdr>
          <w:top w:val="single" w:sz="4" w:space="1" w:color="auto"/>
          <w:left w:val="single" w:sz="4" w:space="4" w:color="auto"/>
          <w:bottom w:val="single" w:sz="4" w:space="1" w:color="auto"/>
          <w:right w:val="single" w:sz="4" w:space="4" w:color="auto"/>
        </w:pBdr>
        <w:shd w:val="clear" w:color="auto" w:fill="D9E2F3"/>
        <w:spacing w:after="0" w:line="264" w:lineRule="auto"/>
        <w:jc w:val="center"/>
        <w:outlineLvl w:val="0"/>
        <w:rPr>
          <w:rFonts w:ascii="Calibri Light" w:eastAsia="Times New Roman" w:hAnsi="Calibri Light" w:cs="Times New Roman"/>
          <w:color w:val="002060"/>
          <w:sz w:val="20"/>
          <w:szCs w:val="32"/>
        </w:rPr>
      </w:pPr>
      <w:r w:rsidRPr="00403677">
        <w:rPr>
          <w:rFonts w:ascii="Calibri Light" w:eastAsia="Times New Roman" w:hAnsi="Calibri Light" w:cs="Times New Roman"/>
          <w:color w:val="002060"/>
          <w:sz w:val="20"/>
          <w:szCs w:val="32"/>
        </w:rPr>
        <w:t>https://midlandsyourcareconnected.nhs.uk/</w:t>
      </w:r>
    </w:p>
    <w:p w:rsidR="009E5C72" w:rsidRPr="00403677" w:rsidRDefault="009E5C72" w:rsidP="009E5C72">
      <w:pPr>
        <w:spacing w:before="100" w:beforeAutospacing="1" w:after="100" w:afterAutospacing="1"/>
        <w:rPr>
          <w:rFonts w:ascii="Calibri" w:eastAsia="Calibri" w:hAnsi="Calibri" w:cs="Times New Roman"/>
          <w:sz w:val="26"/>
          <w:lang w:eastAsia="en-GB"/>
        </w:rPr>
      </w:pPr>
      <w:r w:rsidRPr="00403677">
        <w:rPr>
          <w:rFonts w:ascii="Calibri" w:eastAsia="Calibri" w:hAnsi="Calibri" w:cs="Times New Roman"/>
          <w:sz w:val="26"/>
          <w:lang w:eastAsia="en-GB"/>
        </w:rPr>
        <w:t>Why and how we process your data and your rights in the Your Care Connected record sharing system under the General Data Protection Regulations (GDPR).</w:t>
      </w:r>
    </w:p>
    <w:tbl>
      <w:tblPr>
        <w:tblStyle w:val="TableGrid1"/>
        <w:tblW w:w="0" w:type="auto"/>
        <w:tblLook w:val="04A0" w:firstRow="1" w:lastRow="0" w:firstColumn="1" w:lastColumn="0" w:noHBand="0" w:noVBand="1"/>
      </w:tblPr>
      <w:tblGrid>
        <w:gridCol w:w="2547"/>
        <w:gridCol w:w="3544"/>
        <w:gridCol w:w="3537"/>
      </w:tblGrid>
      <w:tr w:rsidR="009E5C72" w:rsidRPr="00403677" w:rsidTr="009C2B11">
        <w:trPr>
          <w:trHeight w:val="567"/>
        </w:trPr>
        <w:tc>
          <w:tcPr>
            <w:tcW w:w="2547" w:type="dxa"/>
            <w:vAlign w:val="center"/>
          </w:tcPr>
          <w:p w:rsidR="009E5C72" w:rsidRPr="00403677" w:rsidRDefault="009E5C72" w:rsidP="009C2B11">
            <w:pPr>
              <w:spacing w:before="40" w:after="40"/>
              <w:rPr>
                <w:rFonts w:asciiTheme="minorHAnsi" w:eastAsia="Calibri" w:hAnsiTheme="minorHAnsi" w:cs="Times New Roman"/>
                <w:b/>
                <w:sz w:val="20"/>
                <w:lang w:eastAsia="en-GB"/>
              </w:rPr>
            </w:pPr>
            <w:r w:rsidRPr="00403677">
              <w:rPr>
                <w:rFonts w:asciiTheme="minorHAnsi" w:eastAsia="Calibri" w:hAnsiTheme="minorHAnsi" w:cs="Times New Roman"/>
                <w:b/>
                <w:sz w:val="20"/>
                <w:lang w:eastAsia="en-GB"/>
              </w:rPr>
              <w:t>Data controller</w:t>
            </w:r>
          </w:p>
        </w:tc>
        <w:tc>
          <w:tcPr>
            <w:tcW w:w="7081" w:type="dxa"/>
            <w:gridSpan w:val="2"/>
            <w:vAlign w:val="center"/>
          </w:tcPr>
          <w:p w:rsidR="009E5C72" w:rsidRPr="00403677" w:rsidRDefault="009E5C72" w:rsidP="009C2B11">
            <w:pPr>
              <w:spacing w:before="40" w:after="40"/>
              <w:rPr>
                <w:rFonts w:asciiTheme="minorHAnsi" w:eastAsia="Calibri" w:hAnsiTheme="minorHAnsi" w:cs="Times New Roman"/>
                <w:sz w:val="20"/>
                <w:lang w:eastAsia="en-GB"/>
              </w:rPr>
            </w:pPr>
            <w:r w:rsidRPr="00403677">
              <w:rPr>
                <w:rFonts w:asciiTheme="minorHAnsi" w:hAnsiTheme="minorHAnsi"/>
                <w:sz w:val="20"/>
              </w:rPr>
              <w:t xml:space="preserve">Joint Data Controllers include all participating GP practices and providers as listed on our </w:t>
            </w:r>
            <w:hyperlink r:id="rId10" w:history="1">
              <w:r w:rsidRPr="00403677">
                <w:rPr>
                  <w:color w:val="000099"/>
                  <w:sz w:val="20"/>
                  <w:u w:val="single"/>
                </w:rPr>
                <w:t>website</w:t>
              </w:r>
            </w:hyperlink>
          </w:p>
        </w:tc>
      </w:tr>
      <w:tr w:rsidR="009E5C72" w:rsidRPr="00403677" w:rsidTr="009C2B11">
        <w:trPr>
          <w:trHeight w:val="567"/>
        </w:trPr>
        <w:tc>
          <w:tcPr>
            <w:tcW w:w="2547" w:type="dxa"/>
            <w:vAlign w:val="center"/>
          </w:tcPr>
          <w:p w:rsidR="009E5C72" w:rsidRPr="00403677" w:rsidRDefault="009E5C72" w:rsidP="009C2B11">
            <w:pPr>
              <w:spacing w:before="40" w:after="40"/>
              <w:rPr>
                <w:rFonts w:asciiTheme="minorHAnsi" w:eastAsia="Calibri" w:hAnsiTheme="minorHAnsi" w:cs="Times New Roman"/>
                <w:b/>
                <w:sz w:val="20"/>
                <w:lang w:eastAsia="en-GB"/>
              </w:rPr>
            </w:pPr>
            <w:r w:rsidRPr="00403677">
              <w:rPr>
                <w:rFonts w:asciiTheme="minorHAnsi" w:eastAsia="Calibri" w:hAnsiTheme="minorHAnsi" w:cs="Times New Roman"/>
                <w:b/>
                <w:sz w:val="20"/>
                <w:lang w:eastAsia="en-GB"/>
              </w:rPr>
              <w:t>Why and how we use the information?</w:t>
            </w:r>
          </w:p>
        </w:tc>
        <w:tc>
          <w:tcPr>
            <w:tcW w:w="7081" w:type="dxa"/>
            <w:gridSpan w:val="2"/>
            <w:vAlign w:val="center"/>
          </w:tcPr>
          <w:p w:rsidR="009E5C72" w:rsidRPr="00403677" w:rsidRDefault="009E5C72" w:rsidP="009C2B11">
            <w:pPr>
              <w:spacing w:before="40" w:after="40"/>
              <w:rPr>
                <w:rFonts w:asciiTheme="minorHAnsi" w:eastAsia="Calibri" w:hAnsiTheme="minorHAnsi" w:cs="Times New Roman"/>
                <w:sz w:val="20"/>
                <w:lang w:eastAsia="en-GB"/>
              </w:rPr>
            </w:pPr>
            <w:r w:rsidRPr="00403677">
              <w:rPr>
                <w:rFonts w:asciiTheme="minorHAnsi" w:eastAsia="Calibri" w:hAnsiTheme="minorHAnsi" w:cs="Times New Roman"/>
                <w:sz w:val="20"/>
                <w:lang w:eastAsia="en-GB"/>
              </w:rPr>
              <w:t>Your Care Connected (YCC) is an electronic record sharing system that allows authorised staff in the health and care services to securely view key aspects of the GP record, to provide patients with better and safer care.</w:t>
            </w:r>
          </w:p>
        </w:tc>
      </w:tr>
      <w:tr w:rsidR="009E5C72" w:rsidRPr="00403677" w:rsidTr="009C2B11">
        <w:trPr>
          <w:trHeight w:val="567"/>
        </w:trPr>
        <w:tc>
          <w:tcPr>
            <w:tcW w:w="2547" w:type="dxa"/>
            <w:vAlign w:val="center"/>
          </w:tcPr>
          <w:p w:rsidR="009E5C72" w:rsidRPr="00403677" w:rsidRDefault="009E5C72" w:rsidP="009C2B11">
            <w:pPr>
              <w:spacing w:before="40" w:after="40"/>
              <w:rPr>
                <w:rFonts w:asciiTheme="minorHAnsi" w:eastAsia="Calibri" w:hAnsiTheme="minorHAnsi" w:cs="Arial"/>
                <w:b/>
                <w:sz w:val="20"/>
                <w:lang w:eastAsia="en-GB"/>
              </w:rPr>
            </w:pPr>
            <w:r w:rsidRPr="00403677">
              <w:rPr>
                <w:rFonts w:asciiTheme="minorHAnsi" w:eastAsia="Calibri" w:hAnsiTheme="minorHAnsi" w:cs="Times New Roman"/>
                <w:b/>
                <w:sz w:val="20"/>
                <w:lang w:eastAsia="en-GB"/>
              </w:rPr>
              <w:t>Where is the data used?</w:t>
            </w:r>
          </w:p>
        </w:tc>
        <w:tc>
          <w:tcPr>
            <w:tcW w:w="7081" w:type="dxa"/>
            <w:gridSpan w:val="2"/>
            <w:tcBorders>
              <w:bottom w:val="single" w:sz="4" w:space="0" w:color="auto"/>
            </w:tcBorders>
            <w:vAlign w:val="center"/>
          </w:tcPr>
          <w:p w:rsidR="009E5C72" w:rsidRPr="00403677" w:rsidRDefault="009E5C72" w:rsidP="00AC46CA">
            <w:pPr>
              <w:spacing w:before="40" w:after="40"/>
              <w:rPr>
                <w:rFonts w:asciiTheme="minorHAnsi" w:eastAsia="Calibri" w:hAnsiTheme="minorHAnsi" w:cs="Times New Roman"/>
                <w:sz w:val="20"/>
                <w:lang w:eastAsia="en-GB"/>
              </w:rPr>
            </w:pPr>
            <w:r w:rsidRPr="00403677">
              <w:rPr>
                <w:rFonts w:asciiTheme="minorHAnsi" w:eastAsia="Calibri" w:hAnsiTheme="minorHAnsi" w:cs="Arial"/>
                <w:sz w:val="20"/>
                <w:lang w:eastAsia="en-GB"/>
              </w:rPr>
              <w:t xml:space="preserve">Our current list of providers can be viewed on our </w:t>
            </w:r>
            <w:hyperlink r:id="rId11" w:history="1">
              <w:r w:rsidRPr="00AC46CA">
                <w:rPr>
                  <w:rStyle w:val="Hyperlink"/>
                  <w:rFonts w:asciiTheme="minorHAnsi" w:eastAsia="Calibri" w:hAnsiTheme="minorHAnsi" w:cs="Arial"/>
                  <w:sz w:val="20"/>
                  <w:lang w:eastAsia="en-GB"/>
                </w:rPr>
                <w:t>website</w:t>
              </w:r>
            </w:hyperlink>
          </w:p>
        </w:tc>
      </w:tr>
      <w:tr w:rsidR="009E5C72" w:rsidRPr="00403677" w:rsidTr="009C2B11">
        <w:trPr>
          <w:trHeight w:val="567"/>
        </w:trPr>
        <w:tc>
          <w:tcPr>
            <w:tcW w:w="2547" w:type="dxa"/>
            <w:vAlign w:val="center"/>
          </w:tcPr>
          <w:p w:rsidR="009E5C72" w:rsidRPr="00403677" w:rsidRDefault="009E5C72" w:rsidP="009C2B11">
            <w:pPr>
              <w:spacing w:before="40" w:after="40"/>
              <w:rPr>
                <w:rFonts w:asciiTheme="minorHAnsi" w:eastAsia="Calibri" w:hAnsiTheme="minorHAnsi" w:cs="Times New Roman"/>
                <w:b/>
                <w:sz w:val="20"/>
                <w:lang w:eastAsia="en-GB"/>
              </w:rPr>
            </w:pPr>
            <w:r w:rsidRPr="00403677">
              <w:rPr>
                <w:rFonts w:asciiTheme="minorHAnsi" w:eastAsia="Calibri" w:hAnsiTheme="minorHAnsi" w:cs="Times New Roman"/>
                <w:b/>
                <w:sz w:val="20"/>
                <w:lang w:eastAsia="en-GB"/>
              </w:rPr>
              <w:t>What data is shared?</w:t>
            </w:r>
          </w:p>
        </w:tc>
        <w:tc>
          <w:tcPr>
            <w:tcW w:w="7081" w:type="dxa"/>
            <w:gridSpan w:val="2"/>
            <w:vAlign w:val="center"/>
          </w:tcPr>
          <w:p w:rsidR="009E5C72" w:rsidRPr="00403677" w:rsidRDefault="009E5C72" w:rsidP="00AC46CA">
            <w:pPr>
              <w:spacing w:before="40" w:after="40"/>
              <w:rPr>
                <w:rFonts w:asciiTheme="minorHAnsi" w:eastAsia="Calibri" w:hAnsiTheme="minorHAnsi" w:cs="Arial"/>
                <w:sz w:val="20"/>
                <w:lang w:eastAsia="en-GB"/>
              </w:rPr>
            </w:pPr>
            <w:r w:rsidRPr="00403677">
              <w:rPr>
                <w:rFonts w:asciiTheme="minorHAnsi" w:eastAsia="Calibri" w:hAnsiTheme="minorHAnsi" w:cs="Arial"/>
                <w:sz w:val="20"/>
                <w:lang w:eastAsia="en-GB"/>
              </w:rPr>
              <w:t xml:space="preserve">The current data that is shared can be view on our </w:t>
            </w:r>
            <w:hyperlink r:id="rId12" w:history="1">
              <w:r w:rsidRPr="00AC46CA">
                <w:rPr>
                  <w:rStyle w:val="Hyperlink"/>
                  <w:rFonts w:asciiTheme="minorHAnsi" w:eastAsia="Calibri" w:hAnsiTheme="minorHAnsi" w:cs="Arial"/>
                  <w:sz w:val="20"/>
                  <w:lang w:eastAsia="en-GB"/>
                </w:rPr>
                <w:t>website</w:t>
              </w:r>
            </w:hyperlink>
          </w:p>
        </w:tc>
      </w:tr>
      <w:tr w:rsidR="009E5C72" w:rsidRPr="00403677" w:rsidTr="009C2B11">
        <w:trPr>
          <w:trHeight w:val="567"/>
        </w:trPr>
        <w:tc>
          <w:tcPr>
            <w:tcW w:w="2547" w:type="dxa"/>
            <w:vAlign w:val="center"/>
          </w:tcPr>
          <w:p w:rsidR="009E5C72" w:rsidRPr="00403677" w:rsidRDefault="009E5C72" w:rsidP="009C2B11">
            <w:pPr>
              <w:spacing w:before="40" w:after="40"/>
              <w:rPr>
                <w:rFonts w:asciiTheme="minorHAnsi" w:eastAsia="Calibri" w:hAnsiTheme="minorHAnsi" w:cs="Times New Roman"/>
                <w:b/>
                <w:sz w:val="20"/>
                <w:lang w:eastAsia="en-GB"/>
              </w:rPr>
            </w:pPr>
            <w:r w:rsidRPr="00403677">
              <w:rPr>
                <w:rFonts w:asciiTheme="minorHAnsi" w:eastAsia="Calibri" w:hAnsiTheme="minorHAnsi" w:cs="Times New Roman"/>
                <w:b/>
                <w:sz w:val="20"/>
                <w:lang w:eastAsia="en-GB"/>
              </w:rPr>
              <w:t>Where does this data come from?</w:t>
            </w:r>
          </w:p>
        </w:tc>
        <w:tc>
          <w:tcPr>
            <w:tcW w:w="7081" w:type="dxa"/>
            <w:gridSpan w:val="2"/>
            <w:vAlign w:val="center"/>
          </w:tcPr>
          <w:p w:rsidR="009E5C72" w:rsidRPr="00403677" w:rsidRDefault="009E5C72" w:rsidP="009C2B11">
            <w:pPr>
              <w:spacing w:before="40" w:after="40"/>
              <w:rPr>
                <w:rFonts w:asciiTheme="minorHAnsi" w:eastAsia="Calibri" w:hAnsiTheme="minorHAnsi" w:cs="Times New Roman"/>
                <w:sz w:val="20"/>
                <w:lang w:eastAsia="en-GB"/>
              </w:rPr>
            </w:pPr>
            <w:r w:rsidRPr="00403677">
              <w:rPr>
                <w:rFonts w:asciiTheme="minorHAnsi" w:eastAsia="Calibri" w:hAnsiTheme="minorHAnsi" w:cs="Times New Roman"/>
                <w:sz w:val="20"/>
                <w:lang w:eastAsia="en-GB"/>
              </w:rPr>
              <w:t>General Practice (GP) medical record</w:t>
            </w:r>
          </w:p>
        </w:tc>
      </w:tr>
      <w:tr w:rsidR="009E5C72" w:rsidRPr="00403677" w:rsidTr="009C2B11">
        <w:trPr>
          <w:trHeight w:val="567"/>
        </w:trPr>
        <w:tc>
          <w:tcPr>
            <w:tcW w:w="2547" w:type="dxa"/>
            <w:vAlign w:val="center"/>
          </w:tcPr>
          <w:p w:rsidR="009E5C72" w:rsidRPr="00403677" w:rsidRDefault="009E5C72" w:rsidP="009C2B11">
            <w:pPr>
              <w:spacing w:before="40" w:after="40"/>
              <w:rPr>
                <w:rFonts w:asciiTheme="minorHAnsi" w:eastAsia="Calibri" w:hAnsiTheme="minorHAnsi" w:cs="Times New Roman"/>
                <w:b/>
                <w:sz w:val="20"/>
                <w:lang w:eastAsia="en-GB"/>
              </w:rPr>
            </w:pPr>
            <w:r w:rsidRPr="00403677">
              <w:rPr>
                <w:rFonts w:asciiTheme="minorHAnsi" w:eastAsia="Calibri" w:hAnsiTheme="minorHAnsi" w:cs="Times New Roman"/>
                <w:b/>
                <w:sz w:val="20"/>
                <w:lang w:eastAsia="en-GB"/>
              </w:rPr>
              <w:t>Does this contain sensitive data such as health information?</w:t>
            </w:r>
          </w:p>
        </w:tc>
        <w:tc>
          <w:tcPr>
            <w:tcW w:w="7081" w:type="dxa"/>
            <w:gridSpan w:val="2"/>
            <w:vAlign w:val="center"/>
          </w:tcPr>
          <w:p w:rsidR="009E5C72" w:rsidRPr="00403677" w:rsidRDefault="009E5C72" w:rsidP="009C2B11">
            <w:pPr>
              <w:rPr>
                <w:rFonts w:asciiTheme="minorHAnsi" w:eastAsia="Calibri" w:hAnsiTheme="minorHAnsi" w:cs="Times New Roman"/>
                <w:sz w:val="20"/>
                <w:lang w:eastAsia="en-GB"/>
              </w:rPr>
            </w:pPr>
            <w:r w:rsidRPr="00403677">
              <w:rPr>
                <w:rFonts w:asciiTheme="minorHAnsi" w:eastAsia="Calibri" w:hAnsiTheme="minorHAnsi" w:cs="Times New Roman"/>
                <w:sz w:val="20"/>
                <w:lang w:eastAsia="en-GB"/>
              </w:rPr>
              <w:t>Yes, sensitive data is processed as described in GDPR section 9(2)h for the purpose of health or social care.</w:t>
            </w:r>
            <w:r w:rsidR="007102FF" w:rsidRPr="00403677">
              <w:rPr>
                <w:rFonts w:asciiTheme="minorHAnsi" w:eastAsia="Calibri" w:hAnsiTheme="minorHAnsi" w:cs="Times New Roman"/>
                <w:sz w:val="20"/>
                <w:lang w:eastAsia="en-GB"/>
              </w:rPr>
              <w:t xml:space="preserve"> </w:t>
            </w:r>
          </w:p>
        </w:tc>
      </w:tr>
      <w:tr w:rsidR="009E5C72" w:rsidRPr="00403677" w:rsidTr="009C2B11">
        <w:trPr>
          <w:trHeight w:val="567"/>
        </w:trPr>
        <w:tc>
          <w:tcPr>
            <w:tcW w:w="2547" w:type="dxa"/>
            <w:vAlign w:val="center"/>
          </w:tcPr>
          <w:p w:rsidR="009E5C72" w:rsidRPr="00403677" w:rsidRDefault="009E5C72" w:rsidP="009C2B11">
            <w:pPr>
              <w:spacing w:before="40" w:after="40"/>
              <w:rPr>
                <w:rFonts w:asciiTheme="minorHAnsi" w:eastAsia="Calibri" w:hAnsiTheme="minorHAnsi" w:cs="Times New Roman"/>
                <w:b/>
                <w:sz w:val="20"/>
                <w:lang w:eastAsia="en-GB"/>
              </w:rPr>
            </w:pPr>
            <w:r w:rsidRPr="00403677">
              <w:rPr>
                <w:rFonts w:asciiTheme="minorHAnsi" w:eastAsia="Calibri" w:hAnsiTheme="minorHAnsi" w:cs="Times New Roman"/>
                <w:b/>
                <w:sz w:val="20"/>
                <w:lang w:eastAsia="en-GB"/>
              </w:rPr>
              <w:t>Who are recipients of this data?</w:t>
            </w:r>
          </w:p>
        </w:tc>
        <w:tc>
          <w:tcPr>
            <w:tcW w:w="7081" w:type="dxa"/>
            <w:gridSpan w:val="2"/>
            <w:vAlign w:val="center"/>
          </w:tcPr>
          <w:p w:rsidR="009E5C72" w:rsidRPr="00403677" w:rsidRDefault="009E5C72" w:rsidP="00AC46CA">
            <w:pPr>
              <w:spacing w:before="40" w:after="40"/>
              <w:rPr>
                <w:rFonts w:asciiTheme="minorHAnsi" w:eastAsia="Calibri" w:hAnsiTheme="minorHAnsi" w:cs="Times New Roman"/>
                <w:sz w:val="20"/>
                <w:lang w:eastAsia="en-GB"/>
              </w:rPr>
            </w:pPr>
            <w:r w:rsidRPr="00403677">
              <w:rPr>
                <w:rFonts w:asciiTheme="minorHAnsi" w:eastAsia="Calibri" w:hAnsiTheme="minorHAnsi" w:cs="Times New Roman"/>
                <w:sz w:val="20"/>
              </w:rPr>
              <w:t>Authorised health and care staff</w:t>
            </w:r>
            <w:r w:rsidR="00403677" w:rsidRPr="00403677">
              <w:rPr>
                <w:rFonts w:asciiTheme="minorHAnsi" w:eastAsia="Calibri" w:hAnsiTheme="minorHAnsi" w:cs="Times New Roman"/>
                <w:sz w:val="20"/>
              </w:rPr>
              <w:t xml:space="preserve"> as listed on our </w:t>
            </w:r>
            <w:hyperlink r:id="rId13" w:history="1">
              <w:r w:rsidR="00403677" w:rsidRPr="00AC46CA">
                <w:rPr>
                  <w:rStyle w:val="Hyperlink"/>
                  <w:rFonts w:asciiTheme="minorHAnsi" w:eastAsia="Calibri" w:hAnsiTheme="minorHAnsi" w:cs="Times New Roman"/>
                  <w:sz w:val="20"/>
                </w:rPr>
                <w:t>website</w:t>
              </w:r>
            </w:hyperlink>
          </w:p>
        </w:tc>
      </w:tr>
      <w:tr w:rsidR="009E5C72" w:rsidRPr="00403677" w:rsidTr="009C2B11">
        <w:trPr>
          <w:trHeight w:val="567"/>
        </w:trPr>
        <w:tc>
          <w:tcPr>
            <w:tcW w:w="2547" w:type="dxa"/>
            <w:vAlign w:val="center"/>
          </w:tcPr>
          <w:p w:rsidR="009E5C72" w:rsidRPr="00403677" w:rsidRDefault="009E5C72" w:rsidP="009C2B11">
            <w:pPr>
              <w:spacing w:before="40" w:after="40"/>
              <w:rPr>
                <w:rFonts w:asciiTheme="minorHAnsi" w:eastAsia="Calibri" w:hAnsiTheme="minorHAnsi" w:cs="Times New Roman"/>
                <w:b/>
                <w:sz w:val="20"/>
                <w:lang w:eastAsia="en-GB"/>
              </w:rPr>
            </w:pPr>
            <w:r w:rsidRPr="00403677">
              <w:rPr>
                <w:rFonts w:asciiTheme="minorHAnsi" w:eastAsia="Calibri" w:hAnsiTheme="minorHAnsi" w:cs="Times New Roman"/>
                <w:b/>
                <w:sz w:val="20"/>
                <w:lang w:eastAsia="en-GB"/>
              </w:rPr>
              <w:t>Is data transferred outside the UK?</w:t>
            </w:r>
          </w:p>
        </w:tc>
        <w:tc>
          <w:tcPr>
            <w:tcW w:w="7081" w:type="dxa"/>
            <w:gridSpan w:val="2"/>
            <w:vAlign w:val="center"/>
          </w:tcPr>
          <w:p w:rsidR="009E5C72" w:rsidRPr="00403677" w:rsidRDefault="009E5C72" w:rsidP="009C2B11">
            <w:pPr>
              <w:spacing w:before="40" w:after="40"/>
              <w:rPr>
                <w:rFonts w:asciiTheme="minorHAnsi" w:eastAsia="Calibri" w:hAnsiTheme="minorHAnsi" w:cs="Times New Roman"/>
                <w:sz w:val="20"/>
                <w:lang w:eastAsia="en-GB"/>
              </w:rPr>
            </w:pPr>
            <w:r w:rsidRPr="00403677">
              <w:rPr>
                <w:rFonts w:asciiTheme="minorHAnsi" w:eastAsia="Calibri" w:hAnsiTheme="minorHAnsi" w:cs="Times New Roman"/>
                <w:sz w:val="20"/>
                <w:lang w:eastAsia="en-GB"/>
              </w:rPr>
              <w:t>No</w:t>
            </w:r>
          </w:p>
        </w:tc>
      </w:tr>
      <w:tr w:rsidR="009E5C72" w:rsidRPr="00403677" w:rsidTr="009C2B11">
        <w:trPr>
          <w:trHeight w:val="567"/>
        </w:trPr>
        <w:tc>
          <w:tcPr>
            <w:tcW w:w="2547" w:type="dxa"/>
            <w:vAlign w:val="center"/>
          </w:tcPr>
          <w:p w:rsidR="009E5C72" w:rsidRPr="00403677" w:rsidRDefault="009E5C72" w:rsidP="009C2B11">
            <w:pPr>
              <w:spacing w:before="40" w:after="40"/>
              <w:rPr>
                <w:rFonts w:asciiTheme="minorHAnsi" w:eastAsia="Calibri" w:hAnsiTheme="minorHAnsi" w:cs="Times New Roman"/>
                <w:b/>
                <w:sz w:val="20"/>
                <w:lang w:eastAsia="en-GB"/>
              </w:rPr>
            </w:pPr>
            <w:r w:rsidRPr="00403677">
              <w:rPr>
                <w:rFonts w:asciiTheme="minorHAnsi" w:eastAsia="Calibri" w:hAnsiTheme="minorHAnsi" w:cs="Times New Roman"/>
                <w:b/>
                <w:sz w:val="20"/>
                <w:lang w:eastAsia="en-GB"/>
              </w:rPr>
              <w:t>How long the data is kept?</w:t>
            </w:r>
          </w:p>
        </w:tc>
        <w:tc>
          <w:tcPr>
            <w:tcW w:w="7081" w:type="dxa"/>
            <w:gridSpan w:val="2"/>
            <w:vAlign w:val="center"/>
          </w:tcPr>
          <w:p w:rsidR="009E5C72" w:rsidRPr="00403677" w:rsidRDefault="009E5C72" w:rsidP="009C2B11">
            <w:pPr>
              <w:spacing w:before="40" w:after="40"/>
              <w:rPr>
                <w:rFonts w:asciiTheme="minorHAnsi" w:eastAsia="Calibri" w:hAnsiTheme="minorHAnsi" w:cs="Times New Roman"/>
                <w:sz w:val="20"/>
                <w:lang w:eastAsia="en-GB"/>
              </w:rPr>
            </w:pPr>
            <w:r w:rsidRPr="00403677">
              <w:rPr>
                <w:rFonts w:asciiTheme="minorHAnsi" w:eastAsia="Calibri" w:hAnsiTheme="minorHAnsi" w:cs="Times New Roman"/>
                <w:sz w:val="20"/>
                <w:lang w:eastAsia="en-GB"/>
              </w:rPr>
              <w:t xml:space="preserve">Data not kept </w:t>
            </w:r>
          </w:p>
        </w:tc>
      </w:tr>
      <w:tr w:rsidR="009E5C72" w:rsidRPr="00403677" w:rsidTr="009C2B11">
        <w:trPr>
          <w:trHeight w:val="567"/>
        </w:trPr>
        <w:tc>
          <w:tcPr>
            <w:tcW w:w="2547" w:type="dxa"/>
            <w:vAlign w:val="center"/>
          </w:tcPr>
          <w:p w:rsidR="009E5C72" w:rsidRPr="00403677" w:rsidRDefault="009E5C72" w:rsidP="009C2B11">
            <w:pPr>
              <w:spacing w:before="40" w:after="40"/>
              <w:rPr>
                <w:rFonts w:asciiTheme="minorHAnsi" w:eastAsia="Calibri" w:hAnsiTheme="minorHAnsi" w:cs="Times New Roman"/>
                <w:b/>
                <w:sz w:val="20"/>
                <w:lang w:eastAsia="en-GB"/>
              </w:rPr>
            </w:pPr>
            <w:r w:rsidRPr="00403677">
              <w:rPr>
                <w:rFonts w:asciiTheme="minorHAnsi" w:eastAsia="Calibri" w:hAnsiTheme="minorHAnsi" w:cs="Times New Roman"/>
                <w:b/>
                <w:sz w:val="20"/>
                <w:lang w:eastAsia="en-GB"/>
              </w:rPr>
              <w:t>Our lawful basis for processing this data</w:t>
            </w:r>
          </w:p>
        </w:tc>
        <w:tc>
          <w:tcPr>
            <w:tcW w:w="7081" w:type="dxa"/>
            <w:gridSpan w:val="2"/>
            <w:tcBorders>
              <w:bottom w:val="single" w:sz="4" w:space="0" w:color="auto"/>
            </w:tcBorders>
            <w:vAlign w:val="center"/>
          </w:tcPr>
          <w:p w:rsidR="009E5C72" w:rsidRPr="00403677" w:rsidRDefault="009E5C72" w:rsidP="00456BAC">
            <w:pPr>
              <w:rPr>
                <w:rFonts w:asciiTheme="minorHAnsi" w:eastAsia="Calibri" w:hAnsiTheme="minorHAnsi" w:cs="Times New Roman"/>
                <w:sz w:val="20"/>
                <w:lang w:eastAsia="en-GB"/>
              </w:rPr>
            </w:pPr>
            <w:r w:rsidRPr="00403677">
              <w:rPr>
                <w:rFonts w:asciiTheme="minorHAnsi" w:eastAsia="Calibri" w:hAnsiTheme="minorHAnsi" w:cs="Times New Roman"/>
                <w:sz w:val="20"/>
                <w:lang w:eastAsia="en-GB"/>
              </w:rPr>
              <w:t xml:space="preserve">Data is processed under </w:t>
            </w:r>
            <w:r w:rsidR="00456BAC" w:rsidRPr="00403677">
              <w:rPr>
                <w:rFonts w:asciiTheme="minorHAnsi" w:eastAsia="Calibri" w:hAnsiTheme="minorHAnsi" w:cs="Times New Roman"/>
                <w:sz w:val="20"/>
                <w:lang w:eastAsia="en-GB"/>
              </w:rPr>
              <w:t>P</w:t>
            </w:r>
            <w:r w:rsidRPr="00403677">
              <w:rPr>
                <w:rFonts w:asciiTheme="minorHAnsi" w:eastAsia="Calibri" w:hAnsiTheme="minorHAnsi" w:cs="Times New Roman"/>
                <w:sz w:val="20"/>
                <w:lang w:eastAsia="en-GB"/>
              </w:rPr>
              <w:t xml:space="preserve">ublic </w:t>
            </w:r>
            <w:r w:rsidR="00456BAC" w:rsidRPr="00403677">
              <w:rPr>
                <w:rFonts w:asciiTheme="minorHAnsi" w:eastAsia="Calibri" w:hAnsiTheme="minorHAnsi" w:cs="Times New Roman"/>
                <w:sz w:val="20"/>
                <w:lang w:eastAsia="en-GB"/>
              </w:rPr>
              <w:t>Task</w:t>
            </w:r>
            <w:r w:rsidRPr="00403677">
              <w:rPr>
                <w:rFonts w:asciiTheme="minorHAnsi" w:eastAsia="Calibri" w:hAnsiTheme="minorHAnsi" w:cs="Times New Roman"/>
                <w:sz w:val="20"/>
                <w:lang w:eastAsia="en-GB"/>
              </w:rPr>
              <w:t xml:space="preserve"> as described in GDPR section 6(1)e</w:t>
            </w:r>
          </w:p>
        </w:tc>
      </w:tr>
      <w:tr w:rsidR="009E5C72" w:rsidRPr="00403677" w:rsidTr="009C2B11">
        <w:tc>
          <w:tcPr>
            <w:tcW w:w="2547" w:type="dxa"/>
            <w:vAlign w:val="center"/>
          </w:tcPr>
          <w:p w:rsidR="009E5C72" w:rsidRPr="00403677" w:rsidRDefault="009E5C72" w:rsidP="009C2B11">
            <w:pPr>
              <w:spacing w:before="40" w:after="40"/>
              <w:rPr>
                <w:rFonts w:asciiTheme="minorHAnsi" w:eastAsia="Calibri" w:hAnsiTheme="minorHAnsi" w:cs="Times New Roman"/>
                <w:b/>
                <w:sz w:val="20"/>
                <w:lang w:eastAsia="en-GB"/>
              </w:rPr>
            </w:pPr>
            <w:r w:rsidRPr="00403677">
              <w:rPr>
                <w:rFonts w:asciiTheme="minorHAnsi" w:eastAsia="Calibri" w:hAnsiTheme="minorHAnsi" w:cs="Times New Roman"/>
                <w:b/>
                <w:sz w:val="20"/>
                <w:lang w:eastAsia="en-GB"/>
              </w:rPr>
              <w:t>Your rights</w:t>
            </w:r>
          </w:p>
        </w:tc>
        <w:tc>
          <w:tcPr>
            <w:tcW w:w="3544" w:type="dxa"/>
            <w:tcBorders>
              <w:right w:val="nil"/>
            </w:tcBorders>
            <w:vAlign w:val="center"/>
          </w:tcPr>
          <w:p w:rsidR="009E5C72" w:rsidRPr="00403677" w:rsidRDefault="009E5C72" w:rsidP="009C2B11">
            <w:pPr>
              <w:spacing w:before="40" w:after="40"/>
              <w:ind w:left="34"/>
              <w:rPr>
                <w:rFonts w:asciiTheme="minorHAnsi" w:eastAsia="Calibri" w:hAnsiTheme="minorHAnsi" w:cs="Times New Roman"/>
                <w:sz w:val="20"/>
                <w:lang w:eastAsia="en-GB"/>
              </w:rPr>
            </w:pPr>
            <w:r w:rsidRPr="00403677">
              <w:rPr>
                <w:rFonts w:eastAsia="Calibri" w:cs="Times New Roman"/>
                <w:noProof/>
                <w:sz w:val="20"/>
                <w:lang w:eastAsia="en-GB"/>
              </w:rPr>
              <w:drawing>
                <wp:inline distT="0" distB="0" distL="0" distR="0" wp14:anchorId="51ADE08D" wp14:editId="168C5AC4">
                  <wp:extent cx="144000" cy="125173"/>
                  <wp:effectExtent l="0" t="0" r="8890" b="8255"/>
                  <wp:docPr id="1" name="Picture 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ck"/>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l="1" t="1" r="-1" b="13073"/>
                          <a:stretch/>
                        </pic:blipFill>
                        <pic:spPr bwMode="auto">
                          <a:xfrm>
                            <a:off x="0" y="0"/>
                            <a:ext cx="144000" cy="125173"/>
                          </a:xfrm>
                          <a:prstGeom prst="rect">
                            <a:avLst/>
                          </a:prstGeom>
                          <a:noFill/>
                          <a:ln>
                            <a:noFill/>
                          </a:ln>
                          <a:extLst>
                            <a:ext uri="{53640926-AAD7-44D8-BBD7-CCE9431645EC}">
                              <a14:shadowObscured xmlns:a14="http://schemas.microsoft.com/office/drawing/2010/main"/>
                            </a:ext>
                          </a:extLst>
                        </pic:spPr>
                      </pic:pic>
                    </a:graphicData>
                  </a:graphic>
                </wp:inline>
              </w:drawing>
            </w:r>
            <w:r w:rsidRPr="00403677">
              <w:rPr>
                <w:rFonts w:asciiTheme="minorHAnsi" w:eastAsia="Times New Roman" w:hAnsiTheme="minorHAnsi" w:cs="Times New Roman"/>
                <w:sz w:val="20"/>
              </w:rPr>
              <w:t xml:space="preserve"> Be informed </w:t>
            </w:r>
          </w:p>
          <w:p w:rsidR="009E5C72" w:rsidRPr="00403677" w:rsidRDefault="007F1BA7" w:rsidP="009C2B11">
            <w:pPr>
              <w:spacing w:before="40" w:after="40"/>
              <w:ind w:left="34"/>
              <w:rPr>
                <w:rFonts w:asciiTheme="minorHAnsi" w:eastAsia="Times New Roman" w:hAnsiTheme="minorHAnsi" w:cs="Times New Roman"/>
                <w:sz w:val="20"/>
              </w:rPr>
            </w:pPr>
            <w:r w:rsidRPr="00403677">
              <w:rPr>
                <w:rFonts w:eastAsia="Calibri" w:cs="Times New Roman"/>
                <w:noProof/>
                <w:sz w:val="20"/>
                <w:lang w:eastAsia="en-GB"/>
              </w:rPr>
              <w:drawing>
                <wp:inline distT="0" distB="0" distL="0" distR="0" wp14:anchorId="280263CF" wp14:editId="29BD1221">
                  <wp:extent cx="142875" cy="114300"/>
                  <wp:effectExtent l="0" t="0" r="9525" b="0"/>
                  <wp:docPr id="10" name="Picture 1" descr="cid:image001.png@01D475C1.BEB8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75C1.BEB815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9E5C72" w:rsidRPr="00403677">
              <w:rPr>
                <w:rFonts w:asciiTheme="minorHAnsi" w:hAnsiTheme="minorHAnsi"/>
                <w:sz w:val="20"/>
              </w:rPr>
              <w:t xml:space="preserve"> </w:t>
            </w:r>
            <w:r w:rsidR="009E5C72" w:rsidRPr="00403677">
              <w:rPr>
                <w:rFonts w:asciiTheme="minorHAnsi" w:eastAsia="Times New Roman" w:hAnsiTheme="minorHAnsi" w:cs="Times New Roman"/>
                <w:sz w:val="20"/>
              </w:rPr>
              <w:t xml:space="preserve">Get access to it </w:t>
            </w:r>
          </w:p>
          <w:p w:rsidR="009E5C72" w:rsidRPr="00403677" w:rsidRDefault="007F1BA7" w:rsidP="009C2B11">
            <w:pPr>
              <w:spacing w:before="40" w:after="40"/>
              <w:ind w:left="465" w:hanging="431"/>
              <w:rPr>
                <w:rFonts w:asciiTheme="minorHAnsi" w:eastAsia="Calibri" w:hAnsiTheme="minorHAnsi" w:cs="Times New Roman"/>
                <w:noProof/>
                <w:sz w:val="20"/>
                <w:lang w:eastAsia="en-GB"/>
              </w:rPr>
            </w:pPr>
            <w:r w:rsidRPr="00403677">
              <w:rPr>
                <w:rFonts w:eastAsia="Calibri" w:cs="Times New Roman"/>
                <w:noProof/>
                <w:sz w:val="20"/>
                <w:lang w:eastAsia="en-GB"/>
              </w:rPr>
              <w:drawing>
                <wp:inline distT="0" distB="0" distL="0" distR="0" wp14:anchorId="7EBBB8F6" wp14:editId="6DA9941A">
                  <wp:extent cx="142875" cy="114300"/>
                  <wp:effectExtent l="0" t="0" r="9525" b="0"/>
                  <wp:docPr id="9" name="Picture 2" descr="cid:image001.png@01D475C1.BEB8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75C1.BEB815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9E5C72" w:rsidRPr="00403677">
              <w:rPr>
                <w:rFonts w:asciiTheme="minorHAnsi" w:hAnsiTheme="minorHAnsi"/>
                <w:sz w:val="20"/>
              </w:rPr>
              <w:t xml:space="preserve"> </w:t>
            </w:r>
            <w:r w:rsidR="009E5C72" w:rsidRPr="00403677">
              <w:rPr>
                <w:rFonts w:asciiTheme="minorHAnsi" w:eastAsia="Times New Roman" w:hAnsiTheme="minorHAnsi" w:cs="Times New Roman"/>
                <w:sz w:val="20"/>
              </w:rPr>
              <w:t xml:space="preserve">Rectify or change it </w:t>
            </w:r>
          </w:p>
          <w:p w:rsidR="009E5C72" w:rsidRPr="00403677" w:rsidRDefault="007F1BA7" w:rsidP="009C2B11">
            <w:pPr>
              <w:spacing w:before="40" w:after="40"/>
              <w:ind w:left="34"/>
              <w:rPr>
                <w:rFonts w:asciiTheme="minorHAnsi" w:eastAsia="Times New Roman" w:hAnsiTheme="minorHAnsi" w:cs="Times New Roman"/>
                <w:sz w:val="20"/>
              </w:rPr>
            </w:pPr>
            <w:r w:rsidRPr="00403677">
              <w:rPr>
                <w:noProof/>
                <w:sz w:val="20"/>
                <w:lang w:eastAsia="en-GB"/>
              </w:rPr>
              <w:drawing>
                <wp:inline distT="0" distB="0" distL="0" distR="0" wp14:anchorId="02B3C17D" wp14:editId="5169728F">
                  <wp:extent cx="142875" cy="114300"/>
                  <wp:effectExtent l="0" t="0" r="9525" b="0"/>
                  <wp:docPr id="8" name="Picture 3" descr="cid:image002.png@01D475C1.BEB8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475C1.BEB815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9E5C72" w:rsidRPr="00403677">
              <w:rPr>
                <w:rFonts w:asciiTheme="minorHAnsi" w:eastAsia="Times New Roman" w:hAnsiTheme="minorHAnsi" w:cs="Times New Roman"/>
                <w:sz w:val="20"/>
              </w:rPr>
              <w:t xml:space="preserve"> Erase or remove it </w:t>
            </w:r>
          </w:p>
          <w:p w:rsidR="009E5C72" w:rsidRPr="00403677" w:rsidRDefault="007F1BA7" w:rsidP="009C2B11">
            <w:pPr>
              <w:spacing w:before="40" w:after="40"/>
              <w:ind w:left="34"/>
              <w:rPr>
                <w:rFonts w:asciiTheme="minorHAnsi" w:eastAsia="Times New Roman" w:hAnsiTheme="minorHAnsi" w:cs="Times New Roman"/>
                <w:sz w:val="20"/>
              </w:rPr>
            </w:pPr>
            <w:r w:rsidRPr="00403677">
              <w:rPr>
                <w:rFonts w:eastAsia="Calibri" w:cs="Times New Roman"/>
                <w:noProof/>
                <w:sz w:val="20"/>
                <w:lang w:eastAsia="en-GB"/>
              </w:rPr>
              <w:drawing>
                <wp:inline distT="0" distB="0" distL="0" distR="0" wp14:anchorId="45127F4C" wp14:editId="2CD21C9E">
                  <wp:extent cx="142875" cy="114300"/>
                  <wp:effectExtent l="0" t="0" r="9525" b="0"/>
                  <wp:docPr id="3" name="Picture 4" descr="cid:image001.png@01D475C1.BEB8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75C1.BEB815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9E5C72" w:rsidRPr="00403677">
              <w:rPr>
                <w:rFonts w:asciiTheme="minorHAnsi" w:hAnsiTheme="minorHAnsi"/>
                <w:sz w:val="20"/>
              </w:rPr>
              <w:t xml:space="preserve"> </w:t>
            </w:r>
            <w:r w:rsidR="009E5C72" w:rsidRPr="00403677">
              <w:rPr>
                <w:rFonts w:asciiTheme="minorHAnsi" w:eastAsia="Times New Roman" w:hAnsiTheme="minorHAnsi" w:cs="Times New Roman"/>
                <w:sz w:val="20"/>
              </w:rPr>
              <w:t>Restrict or stop processing it</w:t>
            </w:r>
          </w:p>
        </w:tc>
        <w:tc>
          <w:tcPr>
            <w:tcW w:w="3537" w:type="dxa"/>
            <w:tcBorders>
              <w:left w:val="nil"/>
            </w:tcBorders>
            <w:vAlign w:val="center"/>
          </w:tcPr>
          <w:p w:rsidR="009E5C72" w:rsidRPr="00403677" w:rsidRDefault="007F1BA7" w:rsidP="009C2B11">
            <w:pPr>
              <w:spacing w:before="40" w:after="40"/>
              <w:ind w:left="312" w:hanging="312"/>
              <w:rPr>
                <w:rFonts w:asciiTheme="minorHAnsi" w:eastAsia="Calibri" w:hAnsiTheme="minorHAnsi" w:cs="Times New Roman"/>
                <w:noProof/>
                <w:sz w:val="20"/>
                <w:lang w:eastAsia="en-GB"/>
              </w:rPr>
            </w:pPr>
            <w:r w:rsidRPr="00403677">
              <w:rPr>
                <w:rFonts w:eastAsia="Calibri" w:cs="Times New Roman"/>
                <w:noProof/>
                <w:sz w:val="20"/>
                <w:lang w:eastAsia="en-GB"/>
              </w:rPr>
              <w:drawing>
                <wp:inline distT="0" distB="0" distL="0" distR="0" wp14:anchorId="71AA6ADD" wp14:editId="10C3A9D3">
                  <wp:extent cx="142875" cy="114300"/>
                  <wp:effectExtent l="0" t="0" r="9525" b="0"/>
                  <wp:docPr id="5" name="Picture 5" descr="cid:image002.png@01D475C1.BEB8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475C1.BEB815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9E5C72" w:rsidRPr="00403677">
              <w:rPr>
                <w:rFonts w:asciiTheme="minorHAnsi" w:hAnsiTheme="minorHAnsi"/>
                <w:sz w:val="20"/>
              </w:rPr>
              <w:t xml:space="preserve"> </w:t>
            </w:r>
            <w:r w:rsidR="009E5C72" w:rsidRPr="00403677">
              <w:rPr>
                <w:rFonts w:asciiTheme="minorHAnsi" w:eastAsia="Times New Roman" w:hAnsiTheme="minorHAnsi" w:cs="Times New Roman"/>
                <w:sz w:val="20"/>
              </w:rPr>
              <w:t xml:space="preserve">Move, copy or transfer it </w:t>
            </w:r>
          </w:p>
          <w:p w:rsidR="009E5C72" w:rsidRPr="00403677" w:rsidRDefault="007F1BA7" w:rsidP="009C2B11">
            <w:pPr>
              <w:spacing w:before="40" w:after="40"/>
              <w:ind w:left="312" w:hanging="312"/>
              <w:rPr>
                <w:rFonts w:asciiTheme="minorHAnsi" w:eastAsia="Calibri" w:hAnsiTheme="minorHAnsi" w:cs="Times New Roman"/>
                <w:noProof/>
                <w:sz w:val="20"/>
                <w:lang w:eastAsia="en-GB"/>
              </w:rPr>
            </w:pPr>
            <w:r w:rsidRPr="00403677">
              <w:rPr>
                <w:rFonts w:eastAsia="Calibri" w:cs="Times New Roman"/>
                <w:noProof/>
                <w:sz w:val="20"/>
                <w:lang w:eastAsia="en-GB"/>
              </w:rPr>
              <w:drawing>
                <wp:inline distT="0" distB="0" distL="0" distR="0" wp14:anchorId="31D2927A" wp14:editId="2C2ED2B3">
                  <wp:extent cx="142875" cy="114300"/>
                  <wp:effectExtent l="0" t="0" r="9525" b="0"/>
                  <wp:docPr id="2" name="Picture 6" descr="cid:image001.png@01D475C1.BEB8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475C1.BEB815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9E5C72" w:rsidRPr="00403677">
              <w:rPr>
                <w:rFonts w:asciiTheme="minorHAnsi" w:hAnsiTheme="minorHAnsi"/>
                <w:sz w:val="20"/>
              </w:rPr>
              <w:t xml:space="preserve"> </w:t>
            </w:r>
            <w:r w:rsidR="009E5C72" w:rsidRPr="00403677">
              <w:rPr>
                <w:rFonts w:asciiTheme="minorHAnsi" w:eastAsia="Times New Roman" w:hAnsiTheme="minorHAnsi" w:cs="Times New Roman"/>
                <w:sz w:val="20"/>
              </w:rPr>
              <w:t xml:space="preserve">Object to it being processed or used </w:t>
            </w:r>
          </w:p>
          <w:p w:rsidR="009E5C72" w:rsidRPr="00403677" w:rsidRDefault="006F1108" w:rsidP="009C2B11">
            <w:pPr>
              <w:spacing w:before="40" w:after="40"/>
              <w:ind w:left="312" w:hanging="312"/>
              <w:rPr>
                <w:rFonts w:asciiTheme="minorHAnsi" w:eastAsia="Calibri" w:hAnsiTheme="minorHAnsi" w:cs="Times New Roman"/>
                <w:sz w:val="20"/>
                <w:lang w:eastAsia="en-GB"/>
              </w:rPr>
            </w:pPr>
            <w:r>
              <w:rPr>
                <w:noProof/>
                <w:lang w:eastAsia="en-GB"/>
              </w:rPr>
              <w:drawing>
                <wp:inline distT="0" distB="0" distL="0" distR="0" wp14:anchorId="7736C2C7">
                  <wp:extent cx="142875" cy="114300"/>
                  <wp:effectExtent l="0" t="0" r="9525" b="0"/>
                  <wp:docPr id="7" name="Picture 6" descr="cid:image001.png@01D475C1.BEB8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475C1.BEB815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9E5C72" w:rsidRPr="00403677">
              <w:rPr>
                <w:rFonts w:asciiTheme="minorHAnsi" w:hAnsiTheme="minorHAnsi"/>
                <w:sz w:val="20"/>
              </w:rPr>
              <w:t xml:space="preserve"> </w:t>
            </w:r>
            <w:r w:rsidR="009E5C72" w:rsidRPr="00403677">
              <w:rPr>
                <w:rFonts w:asciiTheme="minorHAnsi" w:eastAsia="Times New Roman" w:hAnsiTheme="minorHAnsi" w:cs="Times New Roman"/>
                <w:sz w:val="20"/>
                <w:lang w:eastAsia="en-GB"/>
              </w:rPr>
              <w:t>Know if a decision was made by a computer rather than a person</w:t>
            </w:r>
          </w:p>
        </w:tc>
      </w:tr>
      <w:tr w:rsidR="009E5C72" w:rsidRPr="00403677" w:rsidTr="009C2B11">
        <w:trPr>
          <w:trHeight w:val="567"/>
        </w:trPr>
        <w:tc>
          <w:tcPr>
            <w:tcW w:w="2547" w:type="dxa"/>
            <w:vAlign w:val="center"/>
          </w:tcPr>
          <w:p w:rsidR="009E5C72" w:rsidRPr="00403677" w:rsidRDefault="009E5C72" w:rsidP="00403677">
            <w:pPr>
              <w:spacing w:before="40" w:after="40"/>
              <w:rPr>
                <w:rFonts w:asciiTheme="minorHAnsi" w:eastAsia="Calibri" w:hAnsiTheme="minorHAnsi" w:cs="Times New Roman"/>
                <w:b/>
                <w:sz w:val="20"/>
                <w:lang w:eastAsia="en-GB"/>
              </w:rPr>
            </w:pPr>
            <w:r w:rsidRPr="00403677">
              <w:rPr>
                <w:rFonts w:asciiTheme="minorHAnsi" w:eastAsia="Calibri" w:hAnsiTheme="minorHAnsi" w:cs="Times New Roman"/>
                <w:b/>
                <w:sz w:val="20"/>
                <w:lang w:eastAsia="en-GB"/>
              </w:rPr>
              <w:t xml:space="preserve">How can you </w:t>
            </w:r>
            <w:r w:rsidR="00403677">
              <w:rPr>
                <w:rFonts w:asciiTheme="minorHAnsi" w:eastAsia="Calibri" w:hAnsiTheme="minorHAnsi" w:cs="Times New Roman"/>
                <w:b/>
                <w:sz w:val="20"/>
                <w:lang w:eastAsia="en-GB"/>
              </w:rPr>
              <w:t xml:space="preserve">restrict or </w:t>
            </w:r>
            <w:r w:rsidR="00403677" w:rsidRPr="00403677">
              <w:rPr>
                <w:rFonts w:asciiTheme="minorHAnsi" w:eastAsia="Calibri" w:hAnsiTheme="minorHAnsi" w:cs="Times New Roman"/>
                <w:b/>
                <w:sz w:val="20"/>
                <w:lang w:eastAsia="en-GB"/>
              </w:rPr>
              <w:t>object to data processing</w:t>
            </w:r>
            <w:r w:rsidRPr="00403677">
              <w:rPr>
                <w:rFonts w:asciiTheme="minorHAnsi" w:eastAsia="Calibri" w:hAnsiTheme="minorHAnsi" w:cs="Times New Roman"/>
                <w:b/>
                <w:sz w:val="20"/>
                <w:lang w:eastAsia="en-GB"/>
              </w:rPr>
              <w:t>?</w:t>
            </w:r>
          </w:p>
        </w:tc>
        <w:tc>
          <w:tcPr>
            <w:tcW w:w="7081" w:type="dxa"/>
            <w:gridSpan w:val="2"/>
            <w:vAlign w:val="center"/>
          </w:tcPr>
          <w:p w:rsidR="009E5C72" w:rsidRPr="00403677" w:rsidRDefault="00403677" w:rsidP="00403677">
            <w:pPr>
              <w:spacing w:before="40" w:after="40"/>
              <w:rPr>
                <w:rFonts w:asciiTheme="minorHAnsi" w:eastAsia="Calibri" w:hAnsiTheme="minorHAnsi" w:cs="Times New Roman"/>
                <w:sz w:val="20"/>
              </w:rPr>
            </w:pPr>
            <w:r>
              <w:rPr>
                <w:rFonts w:asciiTheme="minorHAnsi" w:eastAsia="Calibri" w:hAnsiTheme="minorHAnsi" w:cs="Times New Roman"/>
                <w:sz w:val="20"/>
              </w:rPr>
              <w:t>P</w:t>
            </w:r>
            <w:r w:rsidR="009E5C72" w:rsidRPr="00403677">
              <w:rPr>
                <w:rFonts w:asciiTheme="minorHAnsi" w:eastAsia="Calibri" w:hAnsiTheme="minorHAnsi" w:cs="Times New Roman"/>
                <w:sz w:val="20"/>
              </w:rPr>
              <w:t xml:space="preserve">atients can download an </w:t>
            </w:r>
            <w:hyperlink r:id="rId17" w:history="1">
              <w:r w:rsidR="009E5C72" w:rsidRPr="00403677">
                <w:rPr>
                  <w:color w:val="000099"/>
                  <w:sz w:val="20"/>
                  <w:u w:val="single"/>
                </w:rPr>
                <w:t>opt out form</w:t>
              </w:r>
            </w:hyperlink>
            <w:r w:rsidR="009E5C72" w:rsidRPr="00403677">
              <w:rPr>
                <w:rFonts w:asciiTheme="minorHAnsi" w:eastAsia="Calibri" w:hAnsiTheme="minorHAnsi" w:cs="Times New Roman"/>
                <w:sz w:val="20"/>
              </w:rPr>
              <w:t xml:space="preserve"> from our website to complete and give to their registered GP practice to opt out of this type of data processing from the GP medical record.</w:t>
            </w:r>
          </w:p>
        </w:tc>
      </w:tr>
      <w:tr w:rsidR="009E5C72" w:rsidRPr="00403677" w:rsidTr="009C2B11">
        <w:trPr>
          <w:trHeight w:val="567"/>
        </w:trPr>
        <w:tc>
          <w:tcPr>
            <w:tcW w:w="2547" w:type="dxa"/>
            <w:vAlign w:val="center"/>
          </w:tcPr>
          <w:p w:rsidR="009E5C72" w:rsidRPr="00403677" w:rsidRDefault="009E5C72" w:rsidP="009C2B11">
            <w:pPr>
              <w:spacing w:before="40" w:after="40"/>
              <w:rPr>
                <w:rFonts w:asciiTheme="minorHAnsi" w:eastAsia="Calibri" w:hAnsiTheme="minorHAnsi" w:cs="Times New Roman"/>
                <w:b/>
                <w:sz w:val="20"/>
                <w:lang w:eastAsia="en-GB"/>
              </w:rPr>
            </w:pPr>
            <w:r w:rsidRPr="00403677">
              <w:rPr>
                <w:rFonts w:asciiTheme="minorHAnsi" w:eastAsia="Calibri" w:hAnsiTheme="minorHAnsi" w:cs="Times New Roman"/>
                <w:b/>
                <w:sz w:val="20"/>
                <w:lang w:eastAsia="en-GB"/>
              </w:rPr>
              <w:t>Is the data subject to decisions made solely by computers?</w:t>
            </w:r>
          </w:p>
        </w:tc>
        <w:tc>
          <w:tcPr>
            <w:tcW w:w="7081" w:type="dxa"/>
            <w:gridSpan w:val="2"/>
            <w:vAlign w:val="center"/>
          </w:tcPr>
          <w:p w:rsidR="009E5C72" w:rsidRPr="00403677" w:rsidRDefault="009E5C72" w:rsidP="009C2B11">
            <w:pPr>
              <w:spacing w:before="40" w:after="40"/>
              <w:rPr>
                <w:rFonts w:asciiTheme="minorHAnsi" w:eastAsia="Calibri" w:hAnsiTheme="minorHAnsi" w:cs="Times New Roman"/>
                <w:sz w:val="20"/>
                <w:lang w:eastAsia="en-GB"/>
              </w:rPr>
            </w:pPr>
            <w:r w:rsidRPr="00403677">
              <w:rPr>
                <w:rFonts w:asciiTheme="minorHAnsi" w:eastAsia="Calibri" w:hAnsiTheme="minorHAnsi" w:cs="Times New Roman"/>
                <w:sz w:val="20"/>
                <w:lang w:eastAsia="en-GB"/>
              </w:rPr>
              <w:t>No</w:t>
            </w:r>
          </w:p>
        </w:tc>
      </w:tr>
    </w:tbl>
    <w:p w:rsidR="009E5C72" w:rsidRDefault="009E5C72" w:rsidP="00403677">
      <w:pPr>
        <w:pStyle w:val="NoSpacing"/>
      </w:pPr>
    </w:p>
    <w:p w:rsidR="00403677" w:rsidRDefault="00403677" w:rsidP="00403677">
      <w:pPr>
        <w:pStyle w:val="NoSpacing"/>
        <w:rPr>
          <w:sz w:val="2"/>
        </w:rPr>
      </w:pPr>
    </w:p>
    <w:p w:rsidR="00403677" w:rsidRDefault="00403677" w:rsidP="00403677">
      <w:pPr>
        <w:pStyle w:val="NoSpacing"/>
        <w:rPr>
          <w:sz w:val="2"/>
        </w:rPr>
      </w:pPr>
    </w:p>
    <w:p w:rsidR="00403677" w:rsidRDefault="00403677" w:rsidP="00403677">
      <w:pPr>
        <w:pStyle w:val="NoSpacing"/>
        <w:rPr>
          <w:sz w:val="2"/>
        </w:rPr>
      </w:pPr>
    </w:p>
    <w:p w:rsidR="00403677" w:rsidRDefault="00403677" w:rsidP="00403677">
      <w:pPr>
        <w:pStyle w:val="NoSpacing"/>
        <w:rPr>
          <w:sz w:val="2"/>
        </w:rPr>
      </w:pPr>
    </w:p>
    <w:p w:rsidR="00403677" w:rsidRPr="00403677" w:rsidRDefault="00403677" w:rsidP="00403677">
      <w:pPr>
        <w:pStyle w:val="NoSpacing"/>
        <w:rPr>
          <w:sz w:val="2"/>
        </w:rPr>
      </w:pPr>
    </w:p>
    <w:sectPr w:rsidR="00403677" w:rsidRPr="00403677" w:rsidSect="009E5C72">
      <w:headerReference w:type="default" r:id="rId18"/>
      <w:pgSz w:w="11906" w:h="16838"/>
      <w:pgMar w:top="1418"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E65" w:rsidRDefault="009C3E65">
      <w:pPr>
        <w:spacing w:before="0" w:after="0"/>
      </w:pPr>
      <w:r>
        <w:separator/>
      </w:r>
    </w:p>
  </w:endnote>
  <w:endnote w:type="continuationSeparator" w:id="0">
    <w:p w:rsidR="009C3E65" w:rsidRDefault="009C3E65">
      <w:pPr>
        <w:spacing w:before="0" w:after="0"/>
      </w:pPr>
      <w:r>
        <w:continuationSeparator/>
      </w:r>
    </w:p>
  </w:endnote>
  <w:endnote w:type="continuationNotice" w:id="1">
    <w:p w:rsidR="009C3E65" w:rsidRDefault="009C3E6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E65" w:rsidRDefault="009C3E65">
      <w:pPr>
        <w:spacing w:before="0" w:after="0"/>
      </w:pPr>
      <w:r>
        <w:separator/>
      </w:r>
    </w:p>
  </w:footnote>
  <w:footnote w:type="continuationSeparator" w:id="0">
    <w:p w:rsidR="009C3E65" w:rsidRDefault="009C3E65">
      <w:pPr>
        <w:spacing w:before="0" w:after="0"/>
      </w:pPr>
      <w:r>
        <w:continuationSeparator/>
      </w:r>
    </w:p>
  </w:footnote>
  <w:footnote w:type="continuationNotice" w:id="1">
    <w:p w:rsidR="009C3E65" w:rsidRDefault="009C3E6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915" w:rsidRDefault="00D1206E">
    <w:pPr>
      <w:pStyle w:val="Header"/>
    </w:pPr>
    <w:r>
      <w:rPr>
        <w:noProof/>
        <w:lang w:eastAsia="en-GB"/>
      </w:rPr>
      <w:drawing>
        <wp:anchor distT="0" distB="0" distL="114300" distR="114300" simplePos="0" relativeHeight="251659264" behindDoc="1" locked="0" layoutInCell="1" allowOverlap="1" wp14:anchorId="2FB6D6AC" wp14:editId="1456533D">
          <wp:simplePos x="0" y="0"/>
          <wp:positionH relativeFrom="margin">
            <wp:align>left</wp:align>
          </wp:positionH>
          <wp:positionV relativeFrom="paragraph">
            <wp:posOffset>-159385</wp:posOffset>
          </wp:positionV>
          <wp:extent cx="1361440" cy="352425"/>
          <wp:effectExtent l="0" t="0" r="0" b="9525"/>
          <wp:wrapTight wrapText="bothSides">
            <wp:wrapPolygon edited="0">
              <wp:start x="302" y="0"/>
              <wp:lineTo x="0" y="8173"/>
              <wp:lineTo x="302" y="11676"/>
              <wp:lineTo x="1813" y="19849"/>
              <wp:lineTo x="2116" y="21016"/>
              <wp:lineTo x="5440" y="21016"/>
              <wp:lineTo x="20250" y="19849"/>
              <wp:lineTo x="20250" y="3503"/>
              <wp:lineTo x="7254" y="0"/>
              <wp:lineTo x="3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028"/>
                  <a:stretch/>
                </pic:blipFill>
                <pic:spPr bwMode="auto">
                  <a:xfrm>
                    <a:off x="0" y="0"/>
                    <a:ext cx="1361440"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4EC3FAF7" wp14:editId="4F7FAB39">
          <wp:simplePos x="0" y="0"/>
          <wp:positionH relativeFrom="margin">
            <wp:align>right</wp:align>
          </wp:positionH>
          <wp:positionV relativeFrom="paragraph">
            <wp:posOffset>-148763</wp:posOffset>
          </wp:positionV>
          <wp:extent cx="1182205" cy="356716"/>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t="1" b="3326"/>
                  <a:stretch/>
                </pic:blipFill>
                <pic:spPr bwMode="auto">
                  <a:xfrm>
                    <a:off x="0" y="0"/>
                    <a:ext cx="1182205" cy="3567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id:image001.png@01D475C1.BEB81520" style="width:18pt;height:18pt;visibility:visible;mso-wrap-style:square" o:bullet="t">
        <v:imagedata r:id="rId1" o:title="image001"/>
      </v:shape>
    </w:pict>
  </w:numPicBullet>
  <w:abstractNum w:abstractNumId="0" w15:restartNumberingAfterBreak="0">
    <w:nsid w:val="0A3A137C"/>
    <w:multiLevelType w:val="hybridMultilevel"/>
    <w:tmpl w:val="6FEC40F4"/>
    <w:lvl w:ilvl="0" w:tplc="A41A1FD2">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1328C2"/>
    <w:multiLevelType w:val="hybridMultilevel"/>
    <w:tmpl w:val="89E48B28"/>
    <w:lvl w:ilvl="0" w:tplc="5D2846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D1D7458"/>
    <w:multiLevelType w:val="hybridMultilevel"/>
    <w:tmpl w:val="B3FAF538"/>
    <w:lvl w:ilvl="0" w:tplc="B61AA446">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27"/>
    <w:rsid w:val="00001527"/>
    <w:rsid w:val="00080B5B"/>
    <w:rsid w:val="000B7E25"/>
    <w:rsid w:val="000D4E52"/>
    <w:rsid w:val="00114C48"/>
    <w:rsid w:val="00116162"/>
    <w:rsid w:val="00147690"/>
    <w:rsid w:val="00190E74"/>
    <w:rsid w:val="0019531B"/>
    <w:rsid w:val="001C10EC"/>
    <w:rsid w:val="001C5F01"/>
    <w:rsid w:val="001D3F36"/>
    <w:rsid w:val="001F7965"/>
    <w:rsid w:val="00237661"/>
    <w:rsid w:val="00247594"/>
    <w:rsid w:val="00260B8B"/>
    <w:rsid w:val="00294E6D"/>
    <w:rsid w:val="002E4FC5"/>
    <w:rsid w:val="00315346"/>
    <w:rsid w:val="00316007"/>
    <w:rsid w:val="003500B4"/>
    <w:rsid w:val="0036608A"/>
    <w:rsid w:val="00392387"/>
    <w:rsid w:val="003A3361"/>
    <w:rsid w:val="003C0BAA"/>
    <w:rsid w:val="003C28D9"/>
    <w:rsid w:val="003F1A40"/>
    <w:rsid w:val="00403677"/>
    <w:rsid w:val="0040675E"/>
    <w:rsid w:val="00425CE0"/>
    <w:rsid w:val="00456BAC"/>
    <w:rsid w:val="004823B7"/>
    <w:rsid w:val="00483947"/>
    <w:rsid w:val="00487A6C"/>
    <w:rsid w:val="00491B33"/>
    <w:rsid w:val="004A7A25"/>
    <w:rsid w:val="004C4726"/>
    <w:rsid w:val="004C6087"/>
    <w:rsid w:val="004D29B3"/>
    <w:rsid w:val="004F3E0C"/>
    <w:rsid w:val="0051436F"/>
    <w:rsid w:val="00517181"/>
    <w:rsid w:val="00531BDE"/>
    <w:rsid w:val="00541CFA"/>
    <w:rsid w:val="00551916"/>
    <w:rsid w:val="005762B1"/>
    <w:rsid w:val="0057696B"/>
    <w:rsid w:val="0059618C"/>
    <w:rsid w:val="005A5B1B"/>
    <w:rsid w:val="005C52F9"/>
    <w:rsid w:val="005E3A71"/>
    <w:rsid w:val="005F13B7"/>
    <w:rsid w:val="006102E3"/>
    <w:rsid w:val="0061223C"/>
    <w:rsid w:val="006603D1"/>
    <w:rsid w:val="00661B70"/>
    <w:rsid w:val="006A64F9"/>
    <w:rsid w:val="006D4F72"/>
    <w:rsid w:val="006E1D9A"/>
    <w:rsid w:val="006F1108"/>
    <w:rsid w:val="007049C5"/>
    <w:rsid w:val="007102FF"/>
    <w:rsid w:val="007108A5"/>
    <w:rsid w:val="00720865"/>
    <w:rsid w:val="00721A0C"/>
    <w:rsid w:val="0075195E"/>
    <w:rsid w:val="0076451E"/>
    <w:rsid w:val="007A2219"/>
    <w:rsid w:val="007A57F4"/>
    <w:rsid w:val="007F1BA7"/>
    <w:rsid w:val="008169E4"/>
    <w:rsid w:val="00831FCA"/>
    <w:rsid w:val="00852FA9"/>
    <w:rsid w:val="00872A69"/>
    <w:rsid w:val="00883CE4"/>
    <w:rsid w:val="008A4DE1"/>
    <w:rsid w:val="008B26E3"/>
    <w:rsid w:val="008B4558"/>
    <w:rsid w:val="008D191B"/>
    <w:rsid w:val="008D383A"/>
    <w:rsid w:val="00907E26"/>
    <w:rsid w:val="009236E4"/>
    <w:rsid w:val="00923D42"/>
    <w:rsid w:val="00941D75"/>
    <w:rsid w:val="0096019B"/>
    <w:rsid w:val="00971772"/>
    <w:rsid w:val="009A2EB9"/>
    <w:rsid w:val="009B4E2A"/>
    <w:rsid w:val="009C18BD"/>
    <w:rsid w:val="009C3E65"/>
    <w:rsid w:val="009E5C72"/>
    <w:rsid w:val="00A31AD6"/>
    <w:rsid w:val="00A343DB"/>
    <w:rsid w:val="00A4267A"/>
    <w:rsid w:val="00A4624A"/>
    <w:rsid w:val="00A55A8D"/>
    <w:rsid w:val="00A7415B"/>
    <w:rsid w:val="00AC2B9E"/>
    <w:rsid w:val="00AC46CA"/>
    <w:rsid w:val="00AD2802"/>
    <w:rsid w:val="00B0362B"/>
    <w:rsid w:val="00B754B8"/>
    <w:rsid w:val="00B8590C"/>
    <w:rsid w:val="00B87633"/>
    <w:rsid w:val="00B958E8"/>
    <w:rsid w:val="00BC292E"/>
    <w:rsid w:val="00BC6399"/>
    <w:rsid w:val="00C3191A"/>
    <w:rsid w:val="00C53682"/>
    <w:rsid w:val="00C61B5E"/>
    <w:rsid w:val="00C72A0E"/>
    <w:rsid w:val="00C90CD8"/>
    <w:rsid w:val="00CB59BD"/>
    <w:rsid w:val="00CD5D1F"/>
    <w:rsid w:val="00CE0BE9"/>
    <w:rsid w:val="00CE762D"/>
    <w:rsid w:val="00CE7E9D"/>
    <w:rsid w:val="00D1206E"/>
    <w:rsid w:val="00D13490"/>
    <w:rsid w:val="00D3780E"/>
    <w:rsid w:val="00D4156D"/>
    <w:rsid w:val="00D676EC"/>
    <w:rsid w:val="00D75E50"/>
    <w:rsid w:val="00DA2817"/>
    <w:rsid w:val="00E0798D"/>
    <w:rsid w:val="00E577A5"/>
    <w:rsid w:val="00E62F51"/>
    <w:rsid w:val="00E63A24"/>
    <w:rsid w:val="00E75940"/>
    <w:rsid w:val="00E85189"/>
    <w:rsid w:val="00E87371"/>
    <w:rsid w:val="00EA2452"/>
    <w:rsid w:val="00EB0FD1"/>
    <w:rsid w:val="00EB60AA"/>
    <w:rsid w:val="00ED2768"/>
    <w:rsid w:val="00EE54BC"/>
    <w:rsid w:val="00EE694F"/>
    <w:rsid w:val="00EF6365"/>
    <w:rsid w:val="00F16A28"/>
    <w:rsid w:val="00F210C0"/>
    <w:rsid w:val="00F41E38"/>
    <w:rsid w:val="00F64733"/>
    <w:rsid w:val="00F85577"/>
    <w:rsid w:val="00FC4FA6"/>
    <w:rsid w:val="00FD4EF7"/>
    <w:rsid w:val="00FF0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64A638-6FD4-4F7D-96DA-55E7F9FD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27"/>
    <w:pPr>
      <w:spacing w:before="120" w:after="120" w:line="240" w:lineRule="auto"/>
    </w:pPr>
  </w:style>
  <w:style w:type="paragraph" w:styleId="Heading1">
    <w:name w:val="heading 1"/>
    <w:basedOn w:val="Normal"/>
    <w:next w:val="Normal"/>
    <w:link w:val="Heading1Char"/>
    <w:uiPriority w:val="9"/>
    <w:qFormat/>
    <w:rsid w:val="00001527"/>
    <w:pPr>
      <w:keepNext/>
      <w:keepLines/>
      <w:pBdr>
        <w:top w:val="single" w:sz="4" w:space="1" w:color="auto"/>
        <w:left w:val="single" w:sz="4" w:space="4" w:color="auto"/>
        <w:bottom w:val="single" w:sz="4" w:space="1" w:color="auto"/>
        <w:right w:val="single" w:sz="4" w:space="4" w:color="auto"/>
      </w:pBdr>
      <w:shd w:val="clear" w:color="auto" w:fill="D9E2F3" w:themeFill="accent1" w:themeFillTint="33"/>
      <w:spacing w:after="0" w:line="264" w:lineRule="auto"/>
      <w:outlineLvl w:val="0"/>
    </w:pPr>
    <w:rPr>
      <w:rFonts w:asciiTheme="majorHAnsi" w:eastAsiaTheme="majorEastAsia" w:hAnsiTheme="majorHAnsi" w:cstheme="majorBidi"/>
      <w:b/>
      <w:color w:val="002060"/>
      <w:sz w:val="32"/>
      <w:szCs w:val="32"/>
    </w:rPr>
  </w:style>
  <w:style w:type="paragraph" w:styleId="Heading2">
    <w:name w:val="heading 2"/>
    <w:basedOn w:val="Normal"/>
    <w:next w:val="Normal"/>
    <w:link w:val="Heading2Char"/>
    <w:uiPriority w:val="9"/>
    <w:unhideWhenUsed/>
    <w:qFormat/>
    <w:rsid w:val="00A4267A"/>
    <w:pPr>
      <w:keepNext/>
      <w:keepLines/>
      <w:spacing w:before="200" w:after="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527"/>
    <w:rPr>
      <w:rFonts w:asciiTheme="majorHAnsi" w:eastAsiaTheme="majorEastAsia" w:hAnsiTheme="majorHAnsi" w:cstheme="majorBidi"/>
      <w:b/>
      <w:color w:val="002060"/>
      <w:sz w:val="32"/>
      <w:szCs w:val="32"/>
      <w:shd w:val="clear" w:color="auto" w:fill="D9E2F3" w:themeFill="accent1" w:themeFillTint="33"/>
    </w:rPr>
  </w:style>
  <w:style w:type="table" w:styleId="TableGrid">
    <w:name w:val="Table Grid"/>
    <w:basedOn w:val="TableNormal"/>
    <w:uiPriority w:val="59"/>
    <w:rsid w:val="00001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01527"/>
    <w:rPr>
      <w:color w:val="000099"/>
      <w:u w:val="single"/>
    </w:rPr>
  </w:style>
  <w:style w:type="paragraph" w:styleId="Header">
    <w:name w:val="header"/>
    <w:basedOn w:val="Normal"/>
    <w:link w:val="HeaderChar"/>
    <w:uiPriority w:val="99"/>
    <w:unhideWhenUsed/>
    <w:rsid w:val="00001527"/>
    <w:pPr>
      <w:tabs>
        <w:tab w:val="center" w:pos="4513"/>
        <w:tab w:val="right" w:pos="9026"/>
      </w:tabs>
      <w:spacing w:before="0" w:after="0"/>
    </w:pPr>
  </w:style>
  <w:style w:type="character" w:customStyle="1" w:styleId="HeaderChar">
    <w:name w:val="Header Char"/>
    <w:basedOn w:val="DefaultParagraphFont"/>
    <w:link w:val="Header"/>
    <w:uiPriority w:val="99"/>
    <w:rsid w:val="00001527"/>
  </w:style>
  <w:style w:type="paragraph" w:styleId="NormalWeb">
    <w:name w:val="Normal (Web)"/>
    <w:basedOn w:val="Normal"/>
    <w:uiPriority w:val="99"/>
    <w:unhideWhenUsed/>
    <w:rsid w:val="00001527"/>
    <w:pPr>
      <w:spacing w:before="100" w:beforeAutospacing="1" w:after="100" w:afterAutospacing="1"/>
    </w:pPr>
    <w:rPr>
      <w:rFonts w:ascii="Times New Roman" w:hAnsi="Times New Roman" w:cs="Times New Roman"/>
      <w:sz w:val="24"/>
      <w:szCs w:val="24"/>
      <w:lang w:eastAsia="en-GB"/>
    </w:rPr>
  </w:style>
  <w:style w:type="paragraph" w:customStyle="1" w:styleId="ctatext">
    <w:name w:val="cta__text"/>
    <w:basedOn w:val="Normal"/>
    <w:uiPriority w:val="99"/>
    <w:rsid w:val="00001527"/>
    <w:pPr>
      <w:spacing w:before="100" w:beforeAutospacing="1" w:after="100" w:afterAutospacing="1"/>
    </w:pPr>
    <w:rPr>
      <w:rFonts w:ascii="Times New Roman" w:hAnsi="Times New Roman" w:cs="Times New Roman"/>
      <w:sz w:val="24"/>
      <w:szCs w:val="24"/>
      <w:lang w:eastAsia="en-GB"/>
    </w:rPr>
  </w:style>
  <w:style w:type="character" w:customStyle="1" w:styleId="checklistlabel">
    <w:name w:val="checklist__label"/>
    <w:basedOn w:val="DefaultParagraphFont"/>
    <w:rsid w:val="00001527"/>
  </w:style>
  <w:style w:type="character" w:customStyle="1" w:styleId="Heading2Char">
    <w:name w:val="Heading 2 Char"/>
    <w:basedOn w:val="DefaultParagraphFont"/>
    <w:link w:val="Heading2"/>
    <w:uiPriority w:val="9"/>
    <w:rsid w:val="00A4267A"/>
    <w:rPr>
      <w:rFonts w:asciiTheme="majorHAnsi" w:eastAsiaTheme="majorEastAsia" w:hAnsiTheme="majorHAnsi" w:cstheme="majorBidi"/>
      <w:b/>
      <w:color w:val="2F5496" w:themeColor="accent1" w:themeShade="BF"/>
      <w:sz w:val="26"/>
      <w:szCs w:val="26"/>
    </w:rPr>
  </w:style>
  <w:style w:type="paragraph" w:styleId="ListParagraph">
    <w:name w:val="List Paragraph"/>
    <w:basedOn w:val="Normal"/>
    <w:uiPriority w:val="34"/>
    <w:qFormat/>
    <w:rsid w:val="00C3191A"/>
    <w:pPr>
      <w:ind w:left="720"/>
      <w:contextualSpacing/>
    </w:pPr>
  </w:style>
  <w:style w:type="paragraph" w:styleId="BalloonText">
    <w:name w:val="Balloon Text"/>
    <w:basedOn w:val="Normal"/>
    <w:link w:val="BalloonTextChar"/>
    <w:uiPriority w:val="99"/>
    <w:semiHidden/>
    <w:unhideWhenUsed/>
    <w:rsid w:val="004D29B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9B3"/>
    <w:rPr>
      <w:rFonts w:ascii="Segoe UI" w:hAnsi="Segoe UI" w:cs="Segoe UI"/>
      <w:sz w:val="18"/>
      <w:szCs w:val="18"/>
    </w:rPr>
  </w:style>
  <w:style w:type="paragraph" w:styleId="NoSpacing">
    <w:name w:val="No Spacing"/>
    <w:link w:val="NoSpacingChar"/>
    <w:uiPriority w:val="1"/>
    <w:qFormat/>
    <w:rsid w:val="003C28D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28D9"/>
    <w:rPr>
      <w:rFonts w:eastAsiaTheme="minorEastAsia"/>
      <w:lang w:val="en-US"/>
    </w:rPr>
  </w:style>
  <w:style w:type="paragraph" w:customStyle="1" w:styleId="Default">
    <w:name w:val="Default"/>
    <w:rsid w:val="003C28D9"/>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9236E4"/>
    <w:pPr>
      <w:tabs>
        <w:tab w:val="center" w:pos="4513"/>
        <w:tab w:val="right" w:pos="9026"/>
      </w:tabs>
      <w:spacing w:before="0" w:after="0"/>
    </w:pPr>
  </w:style>
  <w:style w:type="character" w:customStyle="1" w:styleId="FooterChar">
    <w:name w:val="Footer Char"/>
    <w:basedOn w:val="DefaultParagraphFont"/>
    <w:link w:val="Footer"/>
    <w:uiPriority w:val="99"/>
    <w:rsid w:val="009236E4"/>
  </w:style>
  <w:style w:type="paragraph" w:styleId="Revision">
    <w:name w:val="Revision"/>
    <w:hidden/>
    <w:uiPriority w:val="99"/>
    <w:semiHidden/>
    <w:rsid w:val="009236E4"/>
    <w:pPr>
      <w:spacing w:after="0" w:line="240" w:lineRule="auto"/>
    </w:pPr>
  </w:style>
  <w:style w:type="table" w:customStyle="1" w:styleId="TableGrid1">
    <w:name w:val="Table Grid1"/>
    <w:basedOn w:val="TableNormal"/>
    <w:next w:val="TableGrid"/>
    <w:uiPriority w:val="59"/>
    <w:rsid w:val="009E5C7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10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49829">
      <w:bodyDiv w:val="1"/>
      <w:marLeft w:val="0"/>
      <w:marRight w:val="0"/>
      <w:marTop w:val="0"/>
      <w:marBottom w:val="0"/>
      <w:divBdr>
        <w:top w:val="none" w:sz="0" w:space="0" w:color="auto"/>
        <w:left w:val="none" w:sz="0" w:space="0" w:color="auto"/>
        <w:bottom w:val="none" w:sz="0" w:space="0" w:color="auto"/>
        <w:right w:val="none" w:sz="0" w:space="0" w:color="auto"/>
      </w:divBdr>
    </w:div>
    <w:div w:id="8388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idlandsyourcareconnected.nhs.uk/index.php/patient-information/who-can-see-your-informatio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dlandsyourcareconnected.nhs.uk/index.php/patient-information/what-information-does-your-care-connected-share" TargetMode="External"/><Relationship Id="rId17" Type="http://schemas.openxmlformats.org/officeDocument/2006/relationships/hyperlink" Target="https://midlandsyourcareconnected.nhs.uk/index.php/patient-information/if-you-don-t-want-your-information-shared"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dlandsyourcareconnected.nhs.uk/index.php/about/working-with-other-organisations" TargetMode="External"/><Relationship Id="rId5" Type="http://schemas.openxmlformats.org/officeDocument/2006/relationships/webSettings" Target="webSettings.xml"/><Relationship Id="rId15" Type="http://schemas.openxmlformats.org/officeDocument/2006/relationships/image" Target="cid:image001.png@01D475C1.BEB81520" TargetMode="External"/><Relationship Id="rId10" Type="http://schemas.openxmlformats.org/officeDocument/2006/relationships/hyperlink" Target="https://midlandsyourcareconnected.nhs.uk/index.php/about/working-with-other-organis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mc-uk.org/ethical-guidance/ethical-guidance-for-doctors/confidentiality/using-and-disclosing-patient-information-for-direct-care"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E7060-4E20-4A21-8D72-E066DF41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Data Sharing Agreement (DSA)</vt:lpstr>
    </vt:vector>
  </TitlesOfParts>
  <Company>NHS</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Sharing Agreement (DSA)</dc:title>
  <dc:subject>betweenGP PracticesandProviders of NHS Funded Care</dc:subject>
  <dc:creator>Dr Damian Williams</dc:creator>
  <cp:lastModifiedBy>Lisa Walsh</cp:lastModifiedBy>
  <cp:revision>2</cp:revision>
  <dcterms:created xsi:type="dcterms:W3CDTF">2021-11-17T15:49:00Z</dcterms:created>
  <dcterms:modified xsi:type="dcterms:W3CDTF">2021-11-17T15:49:00Z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